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9BF7A" w14:textId="461D7DC6" w:rsidR="00F07134" w:rsidRPr="00465122" w:rsidRDefault="00DF681C">
      <w:pPr>
        <w:rPr>
          <w:b/>
          <w:bCs/>
          <w:sz w:val="22"/>
          <w:szCs w:val="22"/>
        </w:rPr>
      </w:pPr>
      <w:r w:rsidRPr="00465122">
        <w:rPr>
          <w:b/>
          <w:bCs/>
          <w:sz w:val="22"/>
          <w:szCs w:val="22"/>
        </w:rPr>
        <w:t xml:space="preserve">National Lung Cancer Audit updated survival analysis of the 2020 </w:t>
      </w:r>
      <w:r w:rsidR="00C519BE" w:rsidRPr="00465122">
        <w:rPr>
          <w:b/>
          <w:bCs/>
          <w:sz w:val="22"/>
          <w:szCs w:val="22"/>
        </w:rPr>
        <w:t>English cohort</w:t>
      </w:r>
    </w:p>
    <w:p w14:paraId="19BF1738" w14:textId="52EA90F1" w:rsidR="00DF681C" w:rsidRPr="00465122" w:rsidRDefault="00DF681C">
      <w:pPr>
        <w:rPr>
          <w:sz w:val="22"/>
          <w:szCs w:val="22"/>
        </w:rPr>
      </w:pPr>
    </w:p>
    <w:p w14:paraId="49CCBFDA" w14:textId="02FF088B" w:rsidR="00DF681C" w:rsidRPr="00465122" w:rsidRDefault="00FF37AE">
      <w:pPr>
        <w:rPr>
          <w:sz w:val="22"/>
          <w:szCs w:val="22"/>
          <w:u w:val="single"/>
        </w:rPr>
      </w:pPr>
      <w:r w:rsidRPr="00465122">
        <w:rPr>
          <w:sz w:val="22"/>
          <w:szCs w:val="22"/>
          <w:u w:val="single"/>
        </w:rPr>
        <w:t>Background</w:t>
      </w:r>
    </w:p>
    <w:p w14:paraId="4AB3F518" w14:textId="77777777" w:rsidR="00FF37AE" w:rsidRPr="00465122" w:rsidRDefault="00FF37AE">
      <w:pPr>
        <w:rPr>
          <w:sz w:val="22"/>
          <w:szCs w:val="22"/>
        </w:rPr>
      </w:pPr>
    </w:p>
    <w:p w14:paraId="3B1AC5C9" w14:textId="59F173A2" w:rsidR="004F2EA9" w:rsidRPr="00465122" w:rsidRDefault="00DF681C" w:rsidP="004F2EA9">
      <w:pPr>
        <w:rPr>
          <w:rFonts w:ascii="Calibri" w:eastAsia="Times New Roman" w:hAnsi="Calibri" w:cs="Calibri"/>
          <w:color w:val="000000"/>
          <w:sz w:val="22"/>
          <w:szCs w:val="22"/>
          <w:lang w:eastAsia="en-GB"/>
        </w:rPr>
      </w:pPr>
      <w:r w:rsidRPr="00465122">
        <w:rPr>
          <w:rFonts w:ascii="Calibri" w:eastAsia="Times New Roman" w:hAnsi="Calibri" w:cs="Calibri"/>
          <w:color w:val="000000"/>
          <w:sz w:val="22"/>
          <w:szCs w:val="22"/>
          <w:lang w:eastAsia="en-GB"/>
        </w:rPr>
        <w:t xml:space="preserve">The </w:t>
      </w:r>
      <w:hyperlink r:id="rId4" w:history="1">
        <w:r w:rsidRPr="00B20085">
          <w:rPr>
            <w:rStyle w:val="Hyperlink"/>
            <w:rFonts w:ascii="Calibri" w:eastAsia="Times New Roman" w:hAnsi="Calibri" w:cs="Calibri"/>
            <w:sz w:val="22"/>
            <w:szCs w:val="22"/>
            <w:lang w:eastAsia="en-GB"/>
          </w:rPr>
          <w:t>NLCA report published in Jan 2022</w:t>
        </w:r>
      </w:hyperlink>
      <w:r w:rsidRPr="00465122">
        <w:rPr>
          <w:rFonts w:ascii="Calibri" w:eastAsia="Times New Roman" w:hAnsi="Calibri" w:cs="Calibri"/>
          <w:color w:val="000000"/>
          <w:sz w:val="22"/>
          <w:szCs w:val="22"/>
          <w:lang w:eastAsia="en-GB"/>
        </w:rPr>
        <w:t xml:space="preserve"> </w:t>
      </w:r>
      <w:r w:rsidR="004F2EA9" w:rsidRPr="00465122">
        <w:rPr>
          <w:rFonts w:ascii="Calibri" w:eastAsia="Times New Roman" w:hAnsi="Calibri" w:cs="Calibri"/>
          <w:color w:val="000000"/>
          <w:sz w:val="22"/>
          <w:szCs w:val="22"/>
          <w:lang w:eastAsia="en-GB"/>
        </w:rPr>
        <w:t>provides information on the process of care and</w:t>
      </w:r>
    </w:p>
    <w:p w14:paraId="477B453E" w14:textId="1EEDE4B2" w:rsidR="009A72D3" w:rsidRPr="00465122" w:rsidRDefault="004F2EA9" w:rsidP="004F2EA9">
      <w:pPr>
        <w:rPr>
          <w:rFonts w:ascii="Calibri" w:eastAsia="Times New Roman" w:hAnsi="Calibri" w:cs="Calibri"/>
          <w:color w:val="000000"/>
          <w:sz w:val="22"/>
          <w:szCs w:val="22"/>
          <w:lang w:eastAsia="en-GB"/>
        </w:rPr>
      </w:pPr>
      <w:r w:rsidRPr="004F2EA9">
        <w:rPr>
          <w:rFonts w:ascii="Calibri" w:eastAsia="Times New Roman" w:hAnsi="Calibri" w:cs="Calibri"/>
          <w:color w:val="000000"/>
          <w:sz w:val="22"/>
          <w:szCs w:val="22"/>
          <w:lang w:eastAsia="en-GB"/>
        </w:rPr>
        <w:t>outcomes for patients diagnosed with lung cancer between 1 January 2019 and 31 December 2019 in</w:t>
      </w:r>
      <w:r w:rsidRPr="00465122">
        <w:rPr>
          <w:rFonts w:ascii="Calibri" w:eastAsia="Times New Roman" w:hAnsi="Calibri" w:cs="Calibri"/>
          <w:color w:val="000000"/>
          <w:sz w:val="22"/>
          <w:szCs w:val="22"/>
          <w:lang w:eastAsia="en-GB"/>
        </w:rPr>
        <w:t xml:space="preserve"> Wales and Guernsey and between 1 January 2019 and 31 December 2020 in England. In contrast to previous years</w:t>
      </w:r>
      <w:r w:rsidR="009A72D3" w:rsidRPr="00465122">
        <w:rPr>
          <w:rFonts w:ascii="Calibri" w:eastAsia="Times New Roman" w:hAnsi="Calibri" w:cs="Calibri"/>
          <w:color w:val="000000"/>
          <w:sz w:val="22"/>
          <w:szCs w:val="22"/>
          <w:lang w:eastAsia="en-GB"/>
        </w:rPr>
        <w:t>,</w:t>
      </w:r>
      <w:r w:rsidRPr="00465122">
        <w:rPr>
          <w:rFonts w:ascii="Calibri" w:eastAsia="Times New Roman" w:hAnsi="Calibri" w:cs="Calibri"/>
          <w:color w:val="000000"/>
          <w:sz w:val="22"/>
          <w:szCs w:val="22"/>
          <w:lang w:eastAsia="en-GB"/>
        </w:rPr>
        <w:t xml:space="preserve"> the data for England </w:t>
      </w:r>
      <w:r w:rsidR="00415D55" w:rsidRPr="00465122">
        <w:rPr>
          <w:rFonts w:ascii="Calibri" w:eastAsia="Times New Roman" w:hAnsi="Calibri" w:cs="Calibri"/>
          <w:color w:val="000000"/>
          <w:sz w:val="22"/>
          <w:szCs w:val="22"/>
          <w:lang w:eastAsia="en-GB"/>
        </w:rPr>
        <w:t xml:space="preserve">for 2019 and 2020 </w:t>
      </w:r>
      <w:r w:rsidRPr="00465122">
        <w:rPr>
          <w:rFonts w:ascii="Calibri" w:eastAsia="Times New Roman" w:hAnsi="Calibri" w:cs="Calibri"/>
          <w:color w:val="000000"/>
          <w:sz w:val="22"/>
          <w:szCs w:val="22"/>
          <w:lang w:eastAsia="en-GB"/>
        </w:rPr>
        <w:t>utilised the Rapid Cancer Registration dataset (RCRD)</w:t>
      </w:r>
      <w:r w:rsidR="009A72D3" w:rsidRPr="00465122">
        <w:rPr>
          <w:rFonts w:ascii="Calibri" w:eastAsia="Times New Roman" w:hAnsi="Calibri" w:cs="Calibri"/>
          <w:color w:val="000000"/>
          <w:sz w:val="22"/>
          <w:szCs w:val="22"/>
          <w:lang w:eastAsia="en-GB"/>
        </w:rPr>
        <w:t>. As described in more detail in the main report, the RCRD did not include patients diagnosed via the death certificate only route and approximately 4</w:t>
      </w:r>
      <w:r w:rsidR="00B20085">
        <w:rPr>
          <w:rFonts w:ascii="Calibri" w:eastAsia="Times New Roman" w:hAnsi="Calibri" w:cs="Calibri"/>
          <w:color w:val="000000"/>
          <w:sz w:val="22"/>
          <w:szCs w:val="22"/>
          <w:lang w:eastAsia="en-GB"/>
        </w:rPr>
        <w:t>,</w:t>
      </w:r>
      <w:r w:rsidR="009A72D3" w:rsidRPr="00465122">
        <w:rPr>
          <w:rFonts w:ascii="Calibri" w:eastAsia="Times New Roman" w:hAnsi="Calibri" w:cs="Calibri"/>
          <w:color w:val="000000"/>
          <w:sz w:val="22"/>
          <w:szCs w:val="22"/>
          <w:lang w:eastAsia="en-GB"/>
        </w:rPr>
        <w:t xml:space="preserve">300 patients with poor prognosis were excluded. </w:t>
      </w:r>
    </w:p>
    <w:p w14:paraId="56F8F0D0" w14:textId="77777777" w:rsidR="009A72D3" w:rsidRPr="00465122" w:rsidRDefault="009A72D3" w:rsidP="004F2EA9">
      <w:pPr>
        <w:rPr>
          <w:rFonts w:ascii="Calibri" w:eastAsia="Times New Roman" w:hAnsi="Calibri" w:cs="Calibri"/>
          <w:color w:val="000000"/>
          <w:sz w:val="22"/>
          <w:szCs w:val="22"/>
          <w:lang w:eastAsia="en-GB"/>
        </w:rPr>
      </w:pPr>
    </w:p>
    <w:p w14:paraId="148DDA55" w14:textId="180102CF" w:rsidR="00DF681C" w:rsidRPr="00465122" w:rsidRDefault="00C519BE" w:rsidP="004F2EA9">
      <w:pPr>
        <w:rPr>
          <w:rFonts w:ascii="Calibri" w:eastAsia="Times New Roman" w:hAnsi="Calibri" w:cs="Calibri"/>
          <w:color w:val="000000"/>
          <w:sz w:val="22"/>
          <w:szCs w:val="22"/>
          <w:lang w:eastAsia="en-GB"/>
        </w:rPr>
      </w:pPr>
      <w:r w:rsidRPr="00465122">
        <w:rPr>
          <w:rFonts w:ascii="Calibri" w:eastAsia="Times New Roman" w:hAnsi="Calibri" w:cs="Calibri"/>
          <w:color w:val="000000"/>
          <w:sz w:val="22"/>
          <w:szCs w:val="22"/>
          <w:lang w:eastAsia="en-GB"/>
        </w:rPr>
        <w:t xml:space="preserve">The survival data for the 2019 and 2020 cohorts was </w:t>
      </w:r>
      <w:r w:rsidR="00FF37AE" w:rsidRPr="00465122">
        <w:rPr>
          <w:rFonts w:ascii="Calibri" w:eastAsia="Times New Roman" w:hAnsi="Calibri" w:cs="Calibri"/>
          <w:color w:val="000000"/>
          <w:sz w:val="22"/>
          <w:szCs w:val="22"/>
          <w:lang w:eastAsia="en-GB"/>
        </w:rPr>
        <w:t xml:space="preserve">originally </w:t>
      </w:r>
      <w:r w:rsidRPr="00465122">
        <w:rPr>
          <w:rFonts w:ascii="Calibri" w:eastAsia="Times New Roman" w:hAnsi="Calibri" w:cs="Calibri"/>
          <w:color w:val="000000"/>
          <w:sz w:val="22"/>
          <w:szCs w:val="22"/>
          <w:lang w:eastAsia="en-GB"/>
        </w:rPr>
        <w:t xml:space="preserve">made available to the NLCA team in June 2021. While this allowed </w:t>
      </w:r>
      <w:r w:rsidR="00415D55" w:rsidRPr="00465122">
        <w:rPr>
          <w:rFonts w:ascii="Calibri" w:eastAsia="Times New Roman" w:hAnsi="Calibri" w:cs="Calibri"/>
          <w:color w:val="000000"/>
          <w:sz w:val="22"/>
          <w:szCs w:val="22"/>
          <w:lang w:eastAsia="en-GB"/>
        </w:rPr>
        <w:t>analysis</w:t>
      </w:r>
      <w:r w:rsidRPr="00465122">
        <w:rPr>
          <w:rFonts w:ascii="Calibri" w:eastAsia="Times New Roman" w:hAnsi="Calibri" w:cs="Calibri"/>
          <w:color w:val="000000"/>
          <w:sz w:val="22"/>
          <w:szCs w:val="22"/>
          <w:lang w:eastAsia="en-GB"/>
        </w:rPr>
        <w:t xml:space="preserve"> of the 2019</w:t>
      </w:r>
      <w:r w:rsidR="00415D55" w:rsidRPr="00465122">
        <w:rPr>
          <w:rFonts w:ascii="Calibri" w:eastAsia="Times New Roman" w:hAnsi="Calibri" w:cs="Calibri"/>
          <w:color w:val="000000"/>
          <w:sz w:val="22"/>
          <w:szCs w:val="22"/>
          <w:lang w:eastAsia="en-GB"/>
        </w:rPr>
        <w:t xml:space="preserve"> cohort, follow-up was insufficient for the 2020 data and so survival was not reported for the English 2020 cohort in the final report. However, updated data were provided by </w:t>
      </w:r>
      <w:r w:rsidR="00FF37AE" w:rsidRPr="00465122">
        <w:rPr>
          <w:rFonts w:ascii="Calibri" w:eastAsia="Times New Roman" w:hAnsi="Calibri" w:cs="Calibri"/>
          <w:color w:val="000000"/>
          <w:sz w:val="22"/>
          <w:szCs w:val="22"/>
          <w:lang w:eastAsia="en-GB"/>
        </w:rPr>
        <w:t xml:space="preserve">the </w:t>
      </w:r>
      <w:r w:rsidR="00415D55" w:rsidRPr="00465122">
        <w:rPr>
          <w:rFonts w:ascii="Calibri" w:eastAsia="Times New Roman" w:hAnsi="Calibri" w:cs="Calibri"/>
          <w:color w:val="000000"/>
          <w:sz w:val="22"/>
          <w:szCs w:val="22"/>
          <w:lang w:eastAsia="en-GB"/>
        </w:rPr>
        <w:t xml:space="preserve">National Cancer Registration and Analysis </w:t>
      </w:r>
      <w:r w:rsidR="00FF37AE" w:rsidRPr="00465122">
        <w:rPr>
          <w:rFonts w:ascii="Calibri" w:eastAsia="Times New Roman" w:hAnsi="Calibri" w:cs="Calibri"/>
          <w:color w:val="000000"/>
          <w:sz w:val="22"/>
          <w:szCs w:val="22"/>
          <w:lang w:eastAsia="en-GB"/>
        </w:rPr>
        <w:t>S</w:t>
      </w:r>
      <w:r w:rsidR="00415D55" w:rsidRPr="00465122">
        <w:rPr>
          <w:rFonts w:ascii="Calibri" w:eastAsia="Times New Roman" w:hAnsi="Calibri" w:cs="Calibri"/>
          <w:color w:val="000000"/>
          <w:sz w:val="22"/>
          <w:szCs w:val="22"/>
          <w:lang w:eastAsia="en-GB"/>
        </w:rPr>
        <w:t>ervice in December 2021 and the results are provided in this updated analysis</w:t>
      </w:r>
      <w:r w:rsidR="00FF37AE" w:rsidRPr="00465122">
        <w:rPr>
          <w:rFonts w:ascii="Calibri" w:eastAsia="Times New Roman" w:hAnsi="Calibri" w:cs="Calibri"/>
          <w:color w:val="000000"/>
          <w:sz w:val="22"/>
          <w:szCs w:val="22"/>
          <w:lang w:eastAsia="en-GB"/>
        </w:rPr>
        <w:t>. We are grateful to our colleagues at the University of Nottingham for carrying out this analysis.</w:t>
      </w:r>
    </w:p>
    <w:p w14:paraId="5A311AE3" w14:textId="4A45E81C" w:rsidR="00DF681C" w:rsidRPr="00465122" w:rsidRDefault="00DF681C">
      <w:pPr>
        <w:rPr>
          <w:sz w:val="22"/>
          <w:szCs w:val="22"/>
        </w:rPr>
      </w:pPr>
    </w:p>
    <w:p w14:paraId="76E66338" w14:textId="7EAECCE9" w:rsidR="00FF37AE" w:rsidRPr="00465122" w:rsidRDefault="00FF37AE">
      <w:pPr>
        <w:rPr>
          <w:sz w:val="22"/>
          <w:szCs w:val="22"/>
          <w:u w:val="single"/>
        </w:rPr>
      </w:pPr>
      <w:r w:rsidRPr="00465122">
        <w:rPr>
          <w:sz w:val="22"/>
          <w:szCs w:val="22"/>
          <w:u w:val="single"/>
        </w:rPr>
        <w:t>Results</w:t>
      </w:r>
    </w:p>
    <w:p w14:paraId="3DDB9731" w14:textId="79D56E2D" w:rsidR="00FF37AE" w:rsidRPr="00465122" w:rsidRDefault="00FF37AE">
      <w:pPr>
        <w:rPr>
          <w:sz w:val="22"/>
          <w:szCs w:val="22"/>
        </w:rPr>
      </w:pPr>
    </w:p>
    <w:p w14:paraId="0BF0B048" w14:textId="1496A667" w:rsidR="00FF37AE" w:rsidRPr="00465122" w:rsidRDefault="00FF37AE">
      <w:pPr>
        <w:rPr>
          <w:sz w:val="22"/>
          <w:szCs w:val="22"/>
        </w:rPr>
      </w:pPr>
      <w:r w:rsidRPr="00465122">
        <w:rPr>
          <w:sz w:val="22"/>
          <w:szCs w:val="22"/>
        </w:rPr>
        <w:t>The numb</w:t>
      </w:r>
      <w:r w:rsidR="00C26B60">
        <w:rPr>
          <w:sz w:val="22"/>
          <w:szCs w:val="22"/>
        </w:rPr>
        <w:t>er</w:t>
      </w:r>
      <w:r w:rsidRPr="00465122">
        <w:rPr>
          <w:sz w:val="22"/>
          <w:szCs w:val="22"/>
        </w:rPr>
        <w:t xml:space="preserve"> of patients available for </w:t>
      </w:r>
      <w:r w:rsidR="00AE1B6B" w:rsidRPr="00465122">
        <w:rPr>
          <w:sz w:val="22"/>
          <w:szCs w:val="22"/>
        </w:rPr>
        <w:t xml:space="preserve">survival </w:t>
      </w:r>
      <w:r w:rsidRPr="00465122">
        <w:rPr>
          <w:sz w:val="22"/>
          <w:szCs w:val="22"/>
        </w:rPr>
        <w:t>analysis in the 2020 dataset was 23,719</w:t>
      </w:r>
      <w:r w:rsidR="00AE77BE">
        <w:rPr>
          <w:sz w:val="22"/>
          <w:szCs w:val="22"/>
        </w:rPr>
        <w:t xml:space="preserve"> as the data cut off was in October.</w:t>
      </w:r>
      <w:r w:rsidR="00AE1B6B" w:rsidRPr="00465122">
        <w:rPr>
          <w:sz w:val="22"/>
          <w:szCs w:val="22"/>
        </w:rPr>
        <w:t xml:space="preserve"> The median survival of the analysed patients </w:t>
      </w:r>
      <w:r w:rsidR="00325BDC" w:rsidRPr="00465122">
        <w:rPr>
          <w:sz w:val="22"/>
          <w:szCs w:val="22"/>
        </w:rPr>
        <w:t>was</w:t>
      </w:r>
      <w:r w:rsidR="00AE1B6B" w:rsidRPr="00465122">
        <w:rPr>
          <w:sz w:val="22"/>
          <w:szCs w:val="22"/>
        </w:rPr>
        <w:t xml:space="preserve"> 306 days (vs 316 for the 2019 cohort)</w:t>
      </w:r>
      <w:r w:rsidR="00C26B60">
        <w:rPr>
          <w:sz w:val="22"/>
          <w:szCs w:val="22"/>
        </w:rPr>
        <w:t xml:space="preserve"> and t</w:t>
      </w:r>
      <w:r w:rsidR="004773E7" w:rsidRPr="00465122">
        <w:rPr>
          <w:sz w:val="22"/>
          <w:szCs w:val="22"/>
        </w:rPr>
        <w:t>he 1 year survival was 44.3%</w:t>
      </w:r>
      <w:r w:rsidR="00F65564" w:rsidRPr="00465122">
        <w:rPr>
          <w:sz w:val="22"/>
          <w:szCs w:val="22"/>
        </w:rPr>
        <w:t>. There were no statistic</w:t>
      </w:r>
      <w:r w:rsidR="00325BDC" w:rsidRPr="00465122">
        <w:rPr>
          <w:sz w:val="22"/>
          <w:szCs w:val="22"/>
        </w:rPr>
        <w:t xml:space="preserve">al outlier </w:t>
      </w:r>
      <w:r w:rsidR="00F65564" w:rsidRPr="00465122">
        <w:rPr>
          <w:sz w:val="22"/>
          <w:szCs w:val="22"/>
        </w:rPr>
        <w:t xml:space="preserve">providers at </w:t>
      </w:r>
      <w:r w:rsidR="00B20085">
        <w:rPr>
          <w:sz w:val="22"/>
          <w:szCs w:val="22"/>
        </w:rPr>
        <w:t xml:space="preserve">Cancer </w:t>
      </w:r>
      <w:r w:rsidR="00F65564" w:rsidRPr="00465122">
        <w:rPr>
          <w:sz w:val="22"/>
          <w:szCs w:val="22"/>
        </w:rPr>
        <w:t xml:space="preserve">Alliance level. Survival according to stage was similar between 2019 and 2020. </w:t>
      </w:r>
    </w:p>
    <w:p w14:paraId="51952BA6" w14:textId="62B867AE" w:rsidR="00F96B93" w:rsidRPr="00465122" w:rsidRDefault="00F96B93">
      <w:pPr>
        <w:rPr>
          <w:sz w:val="22"/>
          <w:szCs w:val="22"/>
        </w:rPr>
      </w:pPr>
    </w:p>
    <w:p w14:paraId="576E647D" w14:textId="35D45D24" w:rsidR="00F96B93" w:rsidRPr="00465122" w:rsidRDefault="00F96B93">
      <w:pPr>
        <w:rPr>
          <w:sz w:val="22"/>
          <w:szCs w:val="22"/>
          <w:u w:val="single"/>
        </w:rPr>
      </w:pPr>
      <w:r w:rsidRPr="00465122">
        <w:rPr>
          <w:sz w:val="22"/>
          <w:szCs w:val="22"/>
          <w:u w:val="single"/>
        </w:rPr>
        <w:t>Interpretation</w:t>
      </w:r>
    </w:p>
    <w:p w14:paraId="1BAE0262" w14:textId="2CC14560" w:rsidR="00415D55" w:rsidRPr="00465122" w:rsidRDefault="00415D55">
      <w:pPr>
        <w:rPr>
          <w:sz w:val="22"/>
          <w:szCs w:val="22"/>
        </w:rPr>
      </w:pPr>
    </w:p>
    <w:p w14:paraId="0D8F3CC9" w14:textId="3FA97814" w:rsidR="00F96B93" w:rsidRPr="00465122" w:rsidRDefault="00F96B93">
      <w:pPr>
        <w:rPr>
          <w:sz w:val="22"/>
          <w:szCs w:val="22"/>
        </w:rPr>
      </w:pPr>
      <w:r w:rsidRPr="00465122">
        <w:rPr>
          <w:sz w:val="22"/>
          <w:szCs w:val="22"/>
        </w:rPr>
        <w:t>When interpreting these data, it must be borne in mind that the source of the data is the RCRD</w:t>
      </w:r>
      <w:r w:rsidR="00465122">
        <w:rPr>
          <w:sz w:val="22"/>
          <w:szCs w:val="22"/>
        </w:rPr>
        <w:t xml:space="preserve"> and that the analysis is based upon 23,719 patients out of 31,371 in the dataset</w:t>
      </w:r>
      <w:r w:rsidRPr="00465122">
        <w:rPr>
          <w:sz w:val="22"/>
          <w:szCs w:val="22"/>
        </w:rPr>
        <w:t xml:space="preserve">. This dataset has the advantage of being available quickly after a patient is registered with a lung cancer diagnosis but has the disadvantage that </w:t>
      </w:r>
      <w:r w:rsidR="004773E7" w:rsidRPr="00465122">
        <w:rPr>
          <w:sz w:val="22"/>
          <w:szCs w:val="22"/>
        </w:rPr>
        <w:t>many cases are missing. It would appear that many of the missing patients are those with advanced stage disease and worse prognosis. The</w:t>
      </w:r>
      <w:r w:rsidR="00F65564" w:rsidRPr="00465122">
        <w:rPr>
          <w:sz w:val="22"/>
          <w:szCs w:val="22"/>
        </w:rPr>
        <w:t>refore, although the 2019 and 2020 datasets appear to have similar survival, the 2020 dataset does not include</w:t>
      </w:r>
      <w:r w:rsidR="00325BDC" w:rsidRPr="00465122">
        <w:rPr>
          <w:sz w:val="22"/>
          <w:szCs w:val="22"/>
        </w:rPr>
        <w:t xml:space="preserve"> </w:t>
      </w:r>
      <w:r w:rsidR="00C26B60">
        <w:rPr>
          <w:sz w:val="22"/>
          <w:szCs w:val="22"/>
        </w:rPr>
        <w:t xml:space="preserve">missing </w:t>
      </w:r>
      <w:r w:rsidR="00325BDC" w:rsidRPr="00465122">
        <w:rPr>
          <w:sz w:val="22"/>
          <w:szCs w:val="22"/>
        </w:rPr>
        <w:t xml:space="preserve">patients with poorer prognosis. </w:t>
      </w:r>
      <w:r w:rsidR="00BD5281" w:rsidRPr="00465122">
        <w:rPr>
          <w:sz w:val="22"/>
          <w:szCs w:val="22"/>
        </w:rPr>
        <w:t>If we assume th</w:t>
      </w:r>
      <w:r w:rsidR="00C26B60">
        <w:rPr>
          <w:sz w:val="22"/>
          <w:szCs w:val="22"/>
        </w:rPr>
        <w:t>at</w:t>
      </w:r>
      <w:r w:rsidR="00BD5281" w:rsidRPr="00465122">
        <w:rPr>
          <w:sz w:val="22"/>
          <w:szCs w:val="22"/>
        </w:rPr>
        <w:t xml:space="preserve"> 4</w:t>
      </w:r>
      <w:r w:rsidR="00B20085">
        <w:rPr>
          <w:sz w:val="22"/>
          <w:szCs w:val="22"/>
        </w:rPr>
        <w:t>,</w:t>
      </w:r>
      <w:r w:rsidR="00BD5281" w:rsidRPr="00465122">
        <w:rPr>
          <w:sz w:val="22"/>
          <w:szCs w:val="22"/>
        </w:rPr>
        <w:t xml:space="preserve">300 patients are missing from the RCRD </w:t>
      </w:r>
      <w:r w:rsidR="00E65DA1">
        <w:rPr>
          <w:sz w:val="22"/>
          <w:szCs w:val="22"/>
        </w:rPr>
        <w:t>are distributed evenly throughout the year</w:t>
      </w:r>
      <w:r w:rsidR="00B20085">
        <w:rPr>
          <w:sz w:val="22"/>
          <w:szCs w:val="22"/>
        </w:rPr>
        <w:t xml:space="preserve"> and </w:t>
      </w:r>
      <w:r w:rsidR="00E65DA1">
        <w:rPr>
          <w:sz w:val="22"/>
          <w:szCs w:val="22"/>
        </w:rPr>
        <w:t xml:space="preserve">that </w:t>
      </w:r>
      <w:r w:rsidR="00B20085">
        <w:rPr>
          <w:sz w:val="22"/>
          <w:szCs w:val="22"/>
        </w:rPr>
        <w:t xml:space="preserve">they </w:t>
      </w:r>
      <w:r w:rsidR="00E65DA1">
        <w:rPr>
          <w:sz w:val="22"/>
          <w:szCs w:val="22"/>
        </w:rPr>
        <w:t xml:space="preserve">also </w:t>
      </w:r>
      <w:r w:rsidR="00BD5281" w:rsidRPr="00465122">
        <w:rPr>
          <w:sz w:val="22"/>
          <w:szCs w:val="22"/>
        </w:rPr>
        <w:t>did not survive for 1 year, then the 1 year survival of patients in 2020 can be estimated to be 3</w:t>
      </w:r>
      <w:r w:rsidR="00E65DA1">
        <w:rPr>
          <w:sz w:val="22"/>
          <w:szCs w:val="22"/>
        </w:rPr>
        <w:t>9</w:t>
      </w:r>
      <w:r w:rsidR="00BD5281" w:rsidRPr="00465122">
        <w:rPr>
          <w:sz w:val="22"/>
          <w:szCs w:val="22"/>
        </w:rPr>
        <w:t xml:space="preserve">%. A similar </w:t>
      </w:r>
      <w:r w:rsidR="00C26B60">
        <w:rPr>
          <w:sz w:val="22"/>
          <w:szCs w:val="22"/>
        </w:rPr>
        <w:t>analysis</w:t>
      </w:r>
      <w:r w:rsidR="00BD5281" w:rsidRPr="00465122">
        <w:rPr>
          <w:sz w:val="22"/>
          <w:szCs w:val="22"/>
        </w:rPr>
        <w:t xml:space="preserve"> for the 2019 data </w:t>
      </w:r>
      <w:r w:rsidR="00B43227" w:rsidRPr="00465122">
        <w:rPr>
          <w:sz w:val="22"/>
          <w:szCs w:val="22"/>
        </w:rPr>
        <w:t>gives</w:t>
      </w:r>
      <w:r w:rsidR="00BD5281" w:rsidRPr="00465122">
        <w:rPr>
          <w:sz w:val="22"/>
          <w:szCs w:val="22"/>
        </w:rPr>
        <w:t xml:space="preserve"> a 1 year survival of 40.7%</w:t>
      </w:r>
      <w:r w:rsidR="00B43227" w:rsidRPr="00465122">
        <w:rPr>
          <w:sz w:val="22"/>
          <w:szCs w:val="22"/>
        </w:rPr>
        <w:t xml:space="preserve">. This suggests a drop in </w:t>
      </w:r>
      <w:r w:rsidR="00C26B60">
        <w:rPr>
          <w:sz w:val="22"/>
          <w:szCs w:val="22"/>
        </w:rPr>
        <w:t xml:space="preserve">1 year </w:t>
      </w:r>
      <w:r w:rsidR="00B43227" w:rsidRPr="00465122">
        <w:rPr>
          <w:sz w:val="22"/>
          <w:szCs w:val="22"/>
        </w:rPr>
        <w:t>survival for the 2020 cohort</w:t>
      </w:r>
      <w:r w:rsidR="00C26B60">
        <w:rPr>
          <w:sz w:val="22"/>
          <w:szCs w:val="22"/>
        </w:rPr>
        <w:t xml:space="preserve"> compared to 2019</w:t>
      </w:r>
      <w:r w:rsidR="00B43227" w:rsidRPr="00465122">
        <w:rPr>
          <w:sz w:val="22"/>
          <w:szCs w:val="22"/>
        </w:rPr>
        <w:t xml:space="preserve">. </w:t>
      </w:r>
    </w:p>
    <w:p w14:paraId="61C862CB" w14:textId="5F82F696" w:rsidR="00F65564" w:rsidRPr="00465122" w:rsidRDefault="00F65564">
      <w:pPr>
        <w:rPr>
          <w:sz w:val="22"/>
          <w:szCs w:val="22"/>
        </w:rPr>
      </w:pPr>
    </w:p>
    <w:p w14:paraId="3E3AC776" w14:textId="6FD30C06" w:rsidR="00F65564" w:rsidRPr="00465122" w:rsidRDefault="00F65564" w:rsidP="00C87E1E">
      <w:pPr>
        <w:rPr>
          <w:sz w:val="22"/>
          <w:szCs w:val="22"/>
        </w:rPr>
      </w:pPr>
      <w:r w:rsidRPr="00465122">
        <w:rPr>
          <w:sz w:val="22"/>
          <w:szCs w:val="22"/>
        </w:rPr>
        <w:t>Du</w:t>
      </w:r>
      <w:r w:rsidR="00325BDC" w:rsidRPr="00465122">
        <w:rPr>
          <w:sz w:val="22"/>
          <w:szCs w:val="22"/>
        </w:rPr>
        <w:t>ring 2020</w:t>
      </w:r>
      <w:r w:rsidRPr="00465122">
        <w:rPr>
          <w:sz w:val="22"/>
          <w:szCs w:val="22"/>
        </w:rPr>
        <w:t xml:space="preserve">, it is </w:t>
      </w:r>
      <w:r w:rsidR="00325BDC" w:rsidRPr="00465122">
        <w:rPr>
          <w:sz w:val="22"/>
          <w:szCs w:val="22"/>
        </w:rPr>
        <w:t>likely</w:t>
      </w:r>
      <w:r w:rsidRPr="00465122">
        <w:rPr>
          <w:sz w:val="22"/>
          <w:szCs w:val="22"/>
        </w:rPr>
        <w:t xml:space="preserve"> that lung cancer patients</w:t>
      </w:r>
      <w:r w:rsidR="00325BDC" w:rsidRPr="00465122">
        <w:rPr>
          <w:sz w:val="22"/>
          <w:szCs w:val="22"/>
        </w:rPr>
        <w:t xml:space="preserve"> may have died with or because of COVID-19. This may explain the reduced incidence in 2020. In addition, routes to diagnosing early stage lung cancer e.g. on CT scans carried out for other reasons or early detection initiatives were </w:t>
      </w:r>
      <w:r w:rsidR="00C87E1E" w:rsidRPr="00465122">
        <w:rPr>
          <w:sz w:val="22"/>
          <w:szCs w:val="22"/>
        </w:rPr>
        <w:t>interrupted</w:t>
      </w:r>
      <w:r w:rsidR="00325BDC" w:rsidRPr="00465122">
        <w:rPr>
          <w:sz w:val="22"/>
          <w:szCs w:val="22"/>
        </w:rPr>
        <w:t xml:space="preserve"> in 2020. </w:t>
      </w:r>
      <w:r w:rsidR="00C87E1E" w:rsidRPr="00465122">
        <w:rPr>
          <w:sz w:val="22"/>
          <w:szCs w:val="22"/>
        </w:rPr>
        <w:t xml:space="preserve">The NLCA report has also shown that compared with 2019, lung cancer patients diagnosed in England in 2020 had worse </w:t>
      </w:r>
      <w:r w:rsidR="00C87E1E" w:rsidRPr="00C87E1E">
        <w:rPr>
          <w:sz w:val="22"/>
          <w:szCs w:val="22"/>
        </w:rPr>
        <w:t>performance status, were more likely to be diagnosed via emergency presentation and less</w:t>
      </w:r>
      <w:r w:rsidR="00C87E1E" w:rsidRPr="00465122">
        <w:rPr>
          <w:sz w:val="22"/>
          <w:szCs w:val="22"/>
        </w:rPr>
        <w:t xml:space="preserve"> likely to have a pathological diagnosis. </w:t>
      </w:r>
      <w:r w:rsidR="00465122" w:rsidRPr="00465122">
        <w:rPr>
          <w:sz w:val="22"/>
          <w:szCs w:val="22"/>
        </w:rPr>
        <w:t>Curative treatment rates fell from 81% in 2019 to 73% in 2020 with a drop in surgical resection rate from 20% to 15%. These factors may contribute to worse survival in 2020.</w:t>
      </w:r>
    </w:p>
    <w:sectPr w:rsidR="00F65564" w:rsidRPr="00465122" w:rsidSect="00B9788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1C"/>
    <w:rsid w:val="00061456"/>
    <w:rsid w:val="00325BDC"/>
    <w:rsid w:val="00415D55"/>
    <w:rsid w:val="00465122"/>
    <w:rsid w:val="004773E7"/>
    <w:rsid w:val="004E3109"/>
    <w:rsid w:val="004F2EA9"/>
    <w:rsid w:val="00592BCD"/>
    <w:rsid w:val="00596D09"/>
    <w:rsid w:val="005972E4"/>
    <w:rsid w:val="00661CC2"/>
    <w:rsid w:val="007225B0"/>
    <w:rsid w:val="00751C91"/>
    <w:rsid w:val="007762D8"/>
    <w:rsid w:val="00825F24"/>
    <w:rsid w:val="00862153"/>
    <w:rsid w:val="008E18B1"/>
    <w:rsid w:val="009371A4"/>
    <w:rsid w:val="009A72D3"/>
    <w:rsid w:val="00A16EED"/>
    <w:rsid w:val="00AE1B6B"/>
    <w:rsid w:val="00AE77BE"/>
    <w:rsid w:val="00AF25C7"/>
    <w:rsid w:val="00B20085"/>
    <w:rsid w:val="00B43227"/>
    <w:rsid w:val="00B6426F"/>
    <w:rsid w:val="00B83157"/>
    <w:rsid w:val="00B97882"/>
    <w:rsid w:val="00BD5281"/>
    <w:rsid w:val="00C26B60"/>
    <w:rsid w:val="00C519BE"/>
    <w:rsid w:val="00C61563"/>
    <w:rsid w:val="00C87E1E"/>
    <w:rsid w:val="00C974D5"/>
    <w:rsid w:val="00D021B1"/>
    <w:rsid w:val="00DA6E8B"/>
    <w:rsid w:val="00DD338E"/>
    <w:rsid w:val="00DF681C"/>
    <w:rsid w:val="00E6062C"/>
    <w:rsid w:val="00E65DA1"/>
    <w:rsid w:val="00ED5D41"/>
    <w:rsid w:val="00F158FC"/>
    <w:rsid w:val="00F57F9E"/>
    <w:rsid w:val="00F65564"/>
    <w:rsid w:val="00F66E12"/>
    <w:rsid w:val="00F96B93"/>
    <w:rsid w:val="00FF3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4792"/>
  <w14:defaultImageDpi w14:val="32767"/>
  <w15:chartTrackingRefBased/>
  <w15:docId w15:val="{D3DC862B-B31F-8046-B2AB-28461F9E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085"/>
    <w:rPr>
      <w:color w:val="0563C1" w:themeColor="hyperlink"/>
      <w:u w:val="single"/>
    </w:rPr>
  </w:style>
  <w:style w:type="paragraph" w:styleId="Revision">
    <w:name w:val="Revision"/>
    <w:hidden/>
    <w:uiPriority w:val="99"/>
    <w:semiHidden/>
    <w:rsid w:val="00E65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530250">
      <w:bodyDiv w:val="1"/>
      <w:marLeft w:val="0"/>
      <w:marRight w:val="0"/>
      <w:marTop w:val="0"/>
      <w:marBottom w:val="0"/>
      <w:divBdr>
        <w:top w:val="none" w:sz="0" w:space="0" w:color="auto"/>
        <w:left w:val="none" w:sz="0" w:space="0" w:color="auto"/>
        <w:bottom w:val="none" w:sz="0" w:space="0" w:color="auto"/>
        <w:right w:val="none" w:sz="0" w:space="0" w:color="auto"/>
      </w:divBdr>
    </w:div>
    <w:div w:id="169792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qip.org.uk/resource/national-lung-cancer-annu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Navani, Neal</dc:creator>
  <cp:keywords/>
  <dc:description/>
  <cp:lastModifiedBy>Sarah Walker</cp:lastModifiedBy>
  <cp:revision>2</cp:revision>
  <dcterms:created xsi:type="dcterms:W3CDTF">2022-06-16T14:08:00Z</dcterms:created>
  <dcterms:modified xsi:type="dcterms:W3CDTF">2022-06-16T14:08:00Z</dcterms:modified>
</cp:coreProperties>
</file>