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9BC88" w14:textId="5BCD6625" w:rsidR="00BA5407" w:rsidRDefault="00B52746" w:rsidP="00B52746">
      <w:pPr>
        <w:jc w:val="right"/>
        <w:outlineLvl w:val="0"/>
        <w:rPr>
          <w:rFonts w:asciiTheme="minorHAnsi" w:hAnsiTheme="minorHAnsi"/>
          <w:b/>
          <w:sz w:val="22"/>
          <w:u w:val="single"/>
        </w:rPr>
      </w:pPr>
      <w:r w:rsidRPr="0012483F">
        <w:rPr>
          <w:rFonts w:asciiTheme="minorHAnsi" w:hAnsiTheme="minorHAnsi" w:cs="Arial"/>
          <w:b/>
          <w:noProof/>
          <w:sz w:val="32"/>
          <w:szCs w:val="32"/>
          <w:lang w:eastAsia="en-GB"/>
        </w:rPr>
        <w:drawing>
          <wp:anchor distT="0" distB="0" distL="114300" distR="114300" simplePos="0" relativeHeight="251659264" behindDoc="0" locked="0" layoutInCell="1" allowOverlap="1" wp14:anchorId="71D489FB" wp14:editId="55118951">
            <wp:simplePos x="0" y="0"/>
            <wp:positionH relativeFrom="column">
              <wp:posOffset>4008120</wp:posOffset>
            </wp:positionH>
            <wp:positionV relativeFrom="paragraph">
              <wp:posOffset>-220345</wp:posOffset>
            </wp:positionV>
            <wp:extent cx="1922145" cy="841375"/>
            <wp:effectExtent l="0" t="0" r="1905" b="0"/>
            <wp:wrapSquare wrapText="bothSides"/>
            <wp:docPr id="5" name="Picture 11" descr="HQIP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QIP_header"/>
                    <pic:cNvPicPr>
                      <a:picLocks noChangeAspect="1" noChangeArrowheads="1"/>
                    </pic:cNvPicPr>
                  </pic:nvPicPr>
                  <pic:blipFill>
                    <a:blip r:embed="rId7" cstate="print"/>
                    <a:srcRect/>
                    <a:stretch>
                      <a:fillRect/>
                    </a:stretch>
                  </pic:blipFill>
                  <pic:spPr bwMode="auto">
                    <a:xfrm>
                      <a:off x="0" y="0"/>
                      <a:ext cx="1922145" cy="841375"/>
                    </a:xfrm>
                    <a:prstGeom prst="rect">
                      <a:avLst/>
                    </a:prstGeom>
                    <a:noFill/>
                  </pic:spPr>
                </pic:pic>
              </a:graphicData>
            </a:graphic>
            <wp14:sizeRelH relativeFrom="margin">
              <wp14:pctWidth>0</wp14:pctWidth>
            </wp14:sizeRelH>
            <wp14:sizeRelV relativeFrom="margin">
              <wp14:pctHeight>0</wp14:pctHeight>
            </wp14:sizeRelV>
          </wp:anchor>
        </w:drawing>
      </w:r>
    </w:p>
    <w:p w14:paraId="37429795" w14:textId="77777777" w:rsidR="00BA5407" w:rsidRDefault="00BA5407" w:rsidP="00BA5407">
      <w:pPr>
        <w:jc w:val="center"/>
        <w:outlineLvl w:val="0"/>
        <w:rPr>
          <w:rFonts w:asciiTheme="minorHAnsi" w:hAnsiTheme="minorHAnsi"/>
          <w:b/>
          <w:sz w:val="22"/>
          <w:u w:val="single"/>
        </w:rPr>
      </w:pPr>
    </w:p>
    <w:p w14:paraId="6F8F8A4B" w14:textId="10BDF172" w:rsidR="00BA5407" w:rsidRPr="00020C42" w:rsidRDefault="00BA5407" w:rsidP="00BA5407">
      <w:pPr>
        <w:jc w:val="center"/>
        <w:outlineLvl w:val="0"/>
        <w:rPr>
          <w:rFonts w:asciiTheme="minorHAnsi" w:hAnsiTheme="minorHAnsi"/>
          <w:b/>
          <w:sz w:val="22"/>
          <w:u w:val="single"/>
        </w:rPr>
      </w:pPr>
      <w:r w:rsidRPr="00020C42">
        <w:rPr>
          <w:rFonts w:asciiTheme="minorHAnsi" w:hAnsiTheme="minorHAnsi"/>
          <w:b/>
          <w:sz w:val="22"/>
          <w:u w:val="single"/>
        </w:rPr>
        <w:t>Job Description</w:t>
      </w:r>
    </w:p>
    <w:tbl>
      <w:tblPr>
        <w:tblStyle w:val="TableGrid"/>
        <w:tblW w:w="0" w:type="auto"/>
        <w:tblInd w:w="108" w:type="dxa"/>
        <w:tblLook w:val="04A0" w:firstRow="1" w:lastRow="0" w:firstColumn="1" w:lastColumn="0" w:noHBand="0" w:noVBand="1"/>
      </w:tblPr>
      <w:tblGrid>
        <w:gridCol w:w="2839"/>
        <w:gridCol w:w="5525"/>
      </w:tblGrid>
      <w:tr w:rsidR="00675904" w14:paraId="7B1EDF48" w14:textId="77777777" w:rsidTr="00675904">
        <w:trPr>
          <w:trHeight w:val="567"/>
        </w:trPr>
        <w:tc>
          <w:tcPr>
            <w:tcW w:w="2839" w:type="dxa"/>
            <w:shd w:val="clear" w:color="auto" w:fill="002060"/>
            <w:hideMark/>
          </w:tcPr>
          <w:p w14:paraId="3AA71D30" w14:textId="77777777" w:rsidR="00675904" w:rsidRPr="00675904" w:rsidRDefault="00675904">
            <w:pPr>
              <w:rPr>
                <w:rFonts w:asciiTheme="minorHAnsi" w:hAnsiTheme="minorHAnsi"/>
                <w:b/>
                <w:color w:val="FFFFFF" w:themeColor="background1"/>
              </w:rPr>
            </w:pPr>
            <w:r w:rsidRPr="00675904">
              <w:rPr>
                <w:rFonts w:asciiTheme="minorHAnsi" w:hAnsiTheme="minorHAnsi"/>
                <w:b/>
                <w:color w:val="FFFFFF" w:themeColor="background1"/>
              </w:rPr>
              <w:t>Job Title:</w:t>
            </w:r>
            <w:r w:rsidRPr="00675904">
              <w:rPr>
                <w:rFonts w:asciiTheme="minorHAnsi" w:hAnsiTheme="minorHAnsi"/>
                <w:b/>
                <w:color w:val="FFFFFF" w:themeColor="background1"/>
              </w:rPr>
              <w:tab/>
            </w:r>
          </w:p>
        </w:tc>
        <w:tc>
          <w:tcPr>
            <w:tcW w:w="5525" w:type="dxa"/>
            <w:hideMark/>
          </w:tcPr>
          <w:p w14:paraId="381790E8" w14:textId="3A57CCF1" w:rsidR="00675904" w:rsidRDefault="00C1011D">
            <w:pPr>
              <w:rPr>
                <w:rFonts w:asciiTheme="minorHAnsi" w:hAnsiTheme="minorHAnsi"/>
                <w:color w:val="FF0000"/>
              </w:rPr>
            </w:pPr>
            <w:r>
              <w:rPr>
                <w:rFonts w:ascii="Calibri" w:eastAsia="Times New Roman" w:hAnsi="Calibri" w:cs="Calibri"/>
                <w:b/>
                <w:bCs/>
                <w:sz w:val="27"/>
                <w:szCs w:val="27"/>
                <w:lang w:eastAsia="en-GB"/>
              </w:rPr>
              <w:t>A</w:t>
            </w:r>
            <w:r w:rsidRPr="005108C7">
              <w:rPr>
                <w:rFonts w:ascii="Calibri" w:eastAsia="Times New Roman" w:hAnsi="Calibri" w:cs="Calibri"/>
                <w:b/>
                <w:bCs/>
                <w:lang w:eastAsia="en-GB"/>
              </w:rPr>
              <w:t>ssociate Director – Association for Clinical Audit and Registries (ACAR)</w:t>
            </w:r>
          </w:p>
        </w:tc>
      </w:tr>
      <w:tr w:rsidR="00675904" w14:paraId="12571210" w14:textId="77777777" w:rsidTr="00675904">
        <w:trPr>
          <w:trHeight w:val="567"/>
        </w:trPr>
        <w:tc>
          <w:tcPr>
            <w:tcW w:w="2839" w:type="dxa"/>
            <w:shd w:val="clear" w:color="auto" w:fill="002060"/>
            <w:hideMark/>
          </w:tcPr>
          <w:p w14:paraId="6A68C68A" w14:textId="77777777" w:rsidR="00675904" w:rsidRPr="00675904" w:rsidRDefault="00675904">
            <w:pPr>
              <w:rPr>
                <w:rFonts w:asciiTheme="minorHAnsi" w:hAnsiTheme="minorHAnsi"/>
                <w:b/>
                <w:color w:val="FFFFFF" w:themeColor="background1"/>
              </w:rPr>
            </w:pPr>
            <w:r w:rsidRPr="00675904">
              <w:rPr>
                <w:rFonts w:asciiTheme="minorHAnsi" w:hAnsiTheme="minorHAnsi"/>
                <w:b/>
                <w:color w:val="FFFFFF" w:themeColor="background1"/>
              </w:rPr>
              <w:t>Reporting to:</w:t>
            </w:r>
          </w:p>
        </w:tc>
        <w:tc>
          <w:tcPr>
            <w:tcW w:w="5525" w:type="dxa"/>
            <w:hideMark/>
          </w:tcPr>
          <w:p w14:paraId="50957FDD" w14:textId="42606523" w:rsidR="00675904" w:rsidRDefault="00C1011D">
            <w:pPr>
              <w:rPr>
                <w:rFonts w:asciiTheme="minorHAnsi" w:hAnsiTheme="minorHAnsi"/>
                <w:color w:val="FF0000"/>
              </w:rPr>
            </w:pPr>
            <w:r w:rsidRPr="00A80FD3">
              <w:rPr>
                <w:rFonts w:asciiTheme="minorHAnsi" w:hAnsiTheme="minorHAnsi"/>
              </w:rPr>
              <w:t>CEO</w:t>
            </w:r>
          </w:p>
        </w:tc>
      </w:tr>
      <w:tr w:rsidR="00675904" w14:paraId="0B5FDAB2" w14:textId="77777777" w:rsidTr="00675904">
        <w:trPr>
          <w:trHeight w:val="567"/>
        </w:trPr>
        <w:tc>
          <w:tcPr>
            <w:tcW w:w="2839" w:type="dxa"/>
            <w:shd w:val="clear" w:color="auto" w:fill="002060"/>
            <w:hideMark/>
          </w:tcPr>
          <w:p w14:paraId="315C9BF2" w14:textId="77777777" w:rsidR="00675904" w:rsidRPr="00A80FD3" w:rsidRDefault="00675904">
            <w:pPr>
              <w:rPr>
                <w:rFonts w:ascii="Calibri" w:hAnsi="Calibri" w:cs="Calibri"/>
                <w:b/>
                <w:color w:val="FFFFFF" w:themeColor="background1"/>
              </w:rPr>
            </w:pPr>
            <w:r w:rsidRPr="00A80FD3">
              <w:rPr>
                <w:rFonts w:ascii="Calibri" w:hAnsi="Calibri" w:cs="Calibri"/>
                <w:b/>
                <w:color w:val="FFFFFF" w:themeColor="background1"/>
              </w:rPr>
              <w:t>Salary and scale:</w:t>
            </w:r>
          </w:p>
        </w:tc>
        <w:tc>
          <w:tcPr>
            <w:tcW w:w="5525" w:type="dxa"/>
            <w:hideMark/>
          </w:tcPr>
          <w:p w14:paraId="48D76C3A" w14:textId="7AEE8B49" w:rsidR="00675904" w:rsidRPr="00A80FD3" w:rsidRDefault="003E4151">
            <w:pPr>
              <w:autoSpaceDE w:val="0"/>
              <w:autoSpaceDN w:val="0"/>
              <w:rPr>
                <w:rFonts w:ascii="Calibri" w:hAnsi="Calibri" w:cs="Calibri"/>
                <w:bCs/>
              </w:rPr>
            </w:pPr>
            <w:r w:rsidRPr="00A80FD3">
              <w:rPr>
                <w:rFonts w:ascii="Calibri" w:hAnsi="Calibri" w:cs="Calibri"/>
                <w:bCs/>
              </w:rPr>
              <w:t>circa £80,000.00 per annum</w:t>
            </w:r>
          </w:p>
        </w:tc>
      </w:tr>
      <w:tr w:rsidR="00675904" w14:paraId="272FDBC2" w14:textId="77777777" w:rsidTr="00675904">
        <w:trPr>
          <w:trHeight w:val="567"/>
        </w:trPr>
        <w:tc>
          <w:tcPr>
            <w:tcW w:w="2839" w:type="dxa"/>
            <w:shd w:val="clear" w:color="auto" w:fill="002060"/>
            <w:hideMark/>
          </w:tcPr>
          <w:p w14:paraId="7755882C" w14:textId="77777777" w:rsidR="00675904" w:rsidRPr="00675904" w:rsidRDefault="00675904">
            <w:pPr>
              <w:rPr>
                <w:rFonts w:asciiTheme="minorHAnsi" w:hAnsiTheme="minorHAnsi"/>
                <w:b/>
                <w:color w:val="FFFFFF" w:themeColor="background1"/>
              </w:rPr>
            </w:pPr>
            <w:r w:rsidRPr="00675904">
              <w:rPr>
                <w:rFonts w:asciiTheme="minorHAnsi" w:hAnsiTheme="minorHAnsi"/>
                <w:b/>
                <w:color w:val="FFFFFF" w:themeColor="background1"/>
              </w:rPr>
              <w:t xml:space="preserve">HQIP Band </w:t>
            </w:r>
          </w:p>
        </w:tc>
        <w:tc>
          <w:tcPr>
            <w:tcW w:w="5525" w:type="dxa"/>
            <w:hideMark/>
          </w:tcPr>
          <w:p w14:paraId="2755F1F4" w14:textId="26DBA9FE" w:rsidR="00675904" w:rsidRDefault="003E4151">
            <w:pPr>
              <w:autoSpaceDE w:val="0"/>
              <w:autoSpaceDN w:val="0"/>
              <w:rPr>
                <w:rFonts w:asciiTheme="minorHAnsi" w:hAnsiTheme="minorHAnsi" w:cstheme="minorHAnsi"/>
                <w:bCs/>
              </w:rPr>
            </w:pPr>
            <w:r>
              <w:rPr>
                <w:rFonts w:asciiTheme="minorHAnsi" w:hAnsiTheme="minorHAnsi" w:cstheme="minorHAnsi"/>
                <w:bCs/>
              </w:rPr>
              <w:t>B1</w:t>
            </w:r>
          </w:p>
        </w:tc>
      </w:tr>
      <w:tr w:rsidR="00675904" w14:paraId="0D8A3E0F" w14:textId="77777777" w:rsidTr="00675904">
        <w:trPr>
          <w:trHeight w:val="567"/>
        </w:trPr>
        <w:tc>
          <w:tcPr>
            <w:tcW w:w="2839" w:type="dxa"/>
            <w:shd w:val="clear" w:color="auto" w:fill="002060"/>
            <w:hideMark/>
          </w:tcPr>
          <w:p w14:paraId="720E6B34" w14:textId="77777777" w:rsidR="00675904" w:rsidRPr="00675904" w:rsidRDefault="00675904">
            <w:pPr>
              <w:rPr>
                <w:rFonts w:asciiTheme="minorHAnsi" w:hAnsiTheme="minorHAnsi"/>
                <w:b/>
                <w:color w:val="FFFFFF" w:themeColor="background1"/>
              </w:rPr>
            </w:pPr>
            <w:r w:rsidRPr="00675904">
              <w:rPr>
                <w:rFonts w:asciiTheme="minorHAnsi" w:hAnsiTheme="minorHAnsi"/>
                <w:b/>
                <w:color w:val="FFFFFF" w:themeColor="background1"/>
              </w:rPr>
              <w:t>Contract type:</w:t>
            </w:r>
          </w:p>
        </w:tc>
        <w:tc>
          <w:tcPr>
            <w:tcW w:w="5525" w:type="dxa"/>
            <w:hideMark/>
          </w:tcPr>
          <w:p w14:paraId="76C968F8" w14:textId="40FE3FB1" w:rsidR="00675904" w:rsidRPr="00A80FD3" w:rsidRDefault="00C1011D">
            <w:pPr>
              <w:rPr>
                <w:rFonts w:asciiTheme="minorHAnsi" w:hAnsiTheme="minorHAnsi"/>
              </w:rPr>
            </w:pPr>
            <w:r w:rsidRPr="00A80FD3">
              <w:rPr>
                <w:rFonts w:asciiTheme="minorHAnsi" w:hAnsiTheme="minorHAnsi"/>
              </w:rPr>
              <w:t xml:space="preserve">12 months fixed term, secondment welcomed  </w:t>
            </w:r>
          </w:p>
          <w:p w14:paraId="2E339FE7" w14:textId="10104F5F" w:rsidR="00675904" w:rsidRPr="00675904" w:rsidRDefault="00675904">
            <w:pPr>
              <w:rPr>
                <w:rFonts w:asciiTheme="minorHAnsi" w:hAnsiTheme="minorHAnsi"/>
                <w:color w:val="FF0000"/>
              </w:rPr>
            </w:pPr>
            <w:r w:rsidRPr="008B38DD">
              <w:rPr>
                <w:rFonts w:asciiTheme="minorHAnsi" w:hAnsiTheme="minorHAnsi" w:cstheme="minorHAnsi"/>
                <w:shd w:val="clear" w:color="auto" w:fill="FFFFFF"/>
              </w:rPr>
              <w:t>Homeworking - HQIP is a homeworking organisation with excellent IT support. Travel into central London is required on an occasional basis for scheduled corporate activity</w:t>
            </w:r>
          </w:p>
        </w:tc>
      </w:tr>
      <w:tr w:rsidR="00675904" w14:paraId="58B75951" w14:textId="77777777" w:rsidTr="00675904">
        <w:trPr>
          <w:trHeight w:val="567"/>
        </w:trPr>
        <w:tc>
          <w:tcPr>
            <w:tcW w:w="2839" w:type="dxa"/>
            <w:shd w:val="clear" w:color="auto" w:fill="002060"/>
            <w:hideMark/>
          </w:tcPr>
          <w:p w14:paraId="0B7B7076" w14:textId="77777777" w:rsidR="00675904" w:rsidRPr="00675904" w:rsidRDefault="00675904">
            <w:pPr>
              <w:rPr>
                <w:rFonts w:asciiTheme="minorHAnsi" w:hAnsiTheme="minorHAnsi"/>
                <w:b/>
                <w:color w:val="FFFFFF" w:themeColor="background1"/>
              </w:rPr>
            </w:pPr>
            <w:r w:rsidRPr="00675904">
              <w:rPr>
                <w:rFonts w:asciiTheme="minorHAnsi" w:hAnsiTheme="minorHAnsi"/>
                <w:b/>
                <w:color w:val="FFFFFF" w:themeColor="background1"/>
              </w:rPr>
              <w:t>Hours:</w:t>
            </w:r>
            <w:r w:rsidRPr="00675904">
              <w:rPr>
                <w:rFonts w:asciiTheme="minorHAnsi" w:hAnsiTheme="minorHAnsi"/>
                <w:b/>
                <w:color w:val="FFFFFF" w:themeColor="background1"/>
              </w:rPr>
              <w:tab/>
            </w:r>
          </w:p>
        </w:tc>
        <w:tc>
          <w:tcPr>
            <w:tcW w:w="5525" w:type="dxa"/>
            <w:hideMark/>
          </w:tcPr>
          <w:p w14:paraId="19961C63" w14:textId="77777777" w:rsidR="00675904" w:rsidRDefault="00675904">
            <w:pPr>
              <w:rPr>
                <w:rFonts w:asciiTheme="minorHAnsi" w:hAnsiTheme="minorHAnsi"/>
              </w:rPr>
            </w:pPr>
            <w:r>
              <w:rPr>
                <w:rFonts w:asciiTheme="minorHAnsi" w:hAnsiTheme="minorHAnsi"/>
              </w:rPr>
              <w:t xml:space="preserve">Full time 37.5 hours per week </w:t>
            </w:r>
          </w:p>
          <w:p w14:paraId="2ECBBA50" w14:textId="395E87DF" w:rsidR="00675904" w:rsidRDefault="00675904">
            <w:pPr>
              <w:rPr>
                <w:rFonts w:asciiTheme="minorHAnsi" w:hAnsiTheme="minorHAnsi"/>
              </w:rPr>
            </w:pPr>
          </w:p>
        </w:tc>
      </w:tr>
      <w:tr w:rsidR="00675904" w14:paraId="781A95EF" w14:textId="77777777" w:rsidTr="00675904">
        <w:trPr>
          <w:trHeight w:val="567"/>
        </w:trPr>
        <w:tc>
          <w:tcPr>
            <w:tcW w:w="2839" w:type="dxa"/>
            <w:shd w:val="clear" w:color="auto" w:fill="002060"/>
            <w:hideMark/>
          </w:tcPr>
          <w:p w14:paraId="0CEA527E" w14:textId="77777777" w:rsidR="00675904" w:rsidRPr="00675904" w:rsidRDefault="00675904">
            <w:pPr>
              <w:rPr>
                <w:rFonts w:asciiTheme="minorHAnsi" w:hAnsiTheme="minorHAnsi"/>
                <w:b/>
                <w:color w:val="FFFFFF" w:themeColor="background1"/>
              </w:rPr>
            </w:pPr>
            <w:r w:rsidRPr="00675904">
              <w:rPr>
                <w:rFonts w:asciiTheme="minorHAnsi" w:hAnsiTheme="minorHAnsi"/>
                <w:b/>
                <w:color w:val="FFFFFF" w:themeColor="background1"/>
              </w:rPr>
              <w:t xml:space="preserve">Annual leave </w:t>
            </w:r>
          </w:p>
        </w:tc>
        <w:tc>
          <w:tcPr>
            <w:tcW w:w="5525" w:type="dxa"/>
            <w:hideMark/>
          </w:tcPr>
          <w:p w14:paraId="146B6BFD" w14:textId="77777777" w:rsidR="00675904" w:rsidRDefault="00675904">
            <w:pPr>
              <w:rPr>
                <w:rFonts w:asciiTheme="minorHAnsi" w:hAnsiTheme="minorHAnsi"/>
              </w:rPr>
            </w:pPr>
            <w:r>
              <w:rPr>
                <w:rFonts w:asciiTheme="minorHAnsi" w:hAnsiTheme="minorHAnsi"/>
              </w:rPr>
              <w:t>30 days plus public holidays</w:t>
            </w:r>
          </w:p>
        </w:tc>
      </w:tr>
      <w:tr w:rsidR="00675904" w14:paraId="23074008" w14:textId="77777777" w:rsidTr="00675904">
        <w:trPr>
          <w:trHeight w:val="567"/>
        </w:trPr>
        <w:tc>
          <w:tcPr>
            <w:tcW w:w="2839" w:type="dxa"/>
            <w:shd w:val="clear" w:color="auto" w:fill="002060"/>
            <w:hideMark/>
          </w:tcPr>
          <w:p w14:paraId="2EF6E78A" w14:textId="77777777" w:rsidR="00675904" w:rsidRPr="00675904" w:rsidRDefault="00675904">
            <w:pPr>
              <w:rPr>
                <w:rFonts w:asciiTheme="minorHAnsi" w:hAnsiTheme="minorHAnsi"/>
                <w:b/>
                <w:color w:val="FFFFFF" w:themeColor="background1"/>
              </w:rPr>
            </w:pPr>
            <w:r w:rsidRPr="00675904">
              <w:rPr>
                <w:rFonts w:asciiTheme="minorHAnsi" w:hAnsiTheme="minorHAnsi"/>
                <w:b/>
                <w:color w:val="FFFFFF" w:themeColor="background1"/>
              </w:rPr>
              <w:t xml:space="preserve">Pension </w:t>
            </w:r>
          </w:p>
        </w:tc>
        <w:tc>
          <w:tcPr>
            <w:tcW w:w="5525" w:type="dxa"/>
          </w:tcPr>
          <w:p w14:paraId="511D5A65" w14:textId="77777777" w:rsidR="00675904" w:rsidRDefault="00675904">
            <w:pPr>
              <w:rPr>
                <w:rFonts w:ascii="Calibri" w:hAnsi="Calibri"/>
              </w:rPr>
            </w:pPr>
            <w:r>
              <w:rPr>
                <w:rFonts w:ascii="Calibri" w:hAnsi="Calibri"/>
              </w:rPr>
              <w:t>Company’s Group Personal Pension scheme</w:t>
            </w:r>
          </w:p>
          <w:p w14:paraId="6E21B68C" w14:textId="353BD719" w:rsidR="00675904" w:rsidRDefault="00675904">
            <w:pPr>
              <w:rPr>
                <w:rFonts w:ascii="Calibri" w:hAnsi="Calibri"/>
              </w:rPr>
            </w:pPr>
            <w:r>
              <w:rPr>
                <w:rFonts w:ascii="Calibri" w:hAnsi="Calibri"/>
              </w:rPr>
              <w:t xml:space="preserve">At time of recruitment </w:t>
            </w:r>
            <w:r w:rsidR="00C1011D">
              <w:rPr>
                <w:rFonts w:ascii="Calibri" w:hAnsi="Calibri"/>
              </w:rPr>
              <w:t>employers’</w:t>
            </w:r>
            <w:r>
              <w:rPr>
                <w:rFonts w:ascii="Calibri" w:hAnsi="Calibri"/>
              </w:rPr>
              <w:t xml:space="preserve"> contribution is 6%</w:t>
            </w:r>
          </w:p>
          <w:p w14:paraId="1E64FB3E" w14:textId="77777777" w:rsidR="00675904" w:rsidRDefault="00675904">
            <w:pPr>
              <w:rPr>
                <w:rFonts w:asciiTheme="minorHAnsi" w:hAnsiTheme="minorHAnsi"/>
              </w:rPr>
            </w:pPr>
          </w:p>
        </w:tc>
      </w:tr>
    </w:tbl>
    <w:p w14:paraId="0E52CDED" w14:textId="77777777" w:rsidR="00BA5407" w:rsidRPr="00020C42" w:rsidRDefault="00BA5407" w:rsidP="00BA5407">
      <w:pPr>
        <w:rPr>
          <w:rFonts w:asciiTheme="minorHAnsi" w:hAnsiTheme="minorHAnsi"/>
          <w:b/>
          <w:sz w:val="22"/>
        </w:rPr>
      </w:pPr>
    </w:p>
    <w:p w14:paraId="77FB23AD" w14:textId="04419AC2" w:rsidR="00BA63F7" w:rsidRPr="00BA63F7" w:rsidRDefault="00BA5407" w:rsidP="00BA63F7">
      <w:pPr>
        <w:shd w:val="clear" w:color="auto" w:fill="002060"/>
        <w:rPr>
          <w:rFonts w:asciiTheme="minorHAnsi" w:hAnsiTheme="minorHAnsi" w:cs="Tahoma"/>
          <w:b/>
          <w:color w:val="FFFFFF" w:themeColor="background1"/>
          <w:sz w:val="22"/>
        </w:rPr>
      </w:pPr>
      <w:r w:rsidRPr="00BA63F7">
        <w:rPr>
          <w:rFonts w:asciiTheme="minorHAnsi" w:hAnsiTheme="minorHAnsi" w:cs="Tahoma"/>
          <w:b/>
          <w:color w:val="FFFFFF" w:themeColor="background1"/>
          <w:sz w:val="22"/>
        </w:rPr>
        <w:t>About us</w:t>
      </w:r>
    </w:p>
    <w:p w14:paraId="0313A5F3" w14:textId="44118B37" w:rsidR="007752AB" w:rsidRDefault="007752AB" w:rsidP="007752AB">
      <w:pPr>
        <w:rPr>
          <w:rFonts w:asciiTheme="minorHAnsi" w:hAnsiTheme="minorHAnsi" w:cstheme="minorHAnsi"/>
          <w:sz w:val="22"/>
        </w:rPr>
      </w:pPr>
      <w:r w:rsidRPr="002A550C">
        <w:rPr>
          <w:rFonts w:asciiTheme="minorHAnsi" w:hAnsiTheme="minorHAnsi" w:cstheme="minorHAnsi"/>
          <w:sz w:val="22"/>
        </w:rPr>
        <w:t xml:space="preserve">National clinical audits and clinical outcome review programmes play a vital role in improving patient outcomes, supporting clinicians, and strengthening the NHS by delivering robust, data-driven insights that drive quality improvement. As the organisation responsible for commissioning and managing the National Clinical Audit and Patient Outcomes Programme (NCAPOP) on behalf of NHS England, Welsh Government and Devolved nations, HQIP ensures that healthcare quality and outcomes are measured against explicit standards, providing actionable insights that enhance care at both national policy and local patient levels. </w:t>
      </w:r>
    </w:p>
    <w:p w14:paraId="23D2114D" w14:textId="77777777" w:rsidR="007752AB" w:rsidRDefault="007752AB" w:rsidP="007752AB">
      <w:pPr>
        <w:rPr>
          <w:rFonts w:asciiTheme="minorHAnsi" w:hAnsiTheme="minorHAnsi" w:cstheme="minorHAnsi"/>
          <w:sz w:val="22"/>
        </w:rPr>
      </w:pPr>
      <w:r w:rsidRPr="002A550C">
        <w:rPr>
          <w:rFonts w:asciiTheme="minorHAnsi" w:hAnsiTheme="minorHAnsi" w:cstheme="minorHAnsi"/>
          <w:sz w:val="22"/>
        </w:rPr>
        <w:t>Led by the Academy of Medical Royal Colleges and the Royal College of Nursing, HQIP enables those who commission, deliver, and receive healthcare to harness clinical data to drive meaningful, lasting improvements in patient safety and care quality across the UK.</w:t>
      </w:r>
      <w:r>
        <w:rPr>
          <w:rFonts w:asciiTheme="minorHAnsi" w:hAnsiTheme="minorHAnsi" w:cstheme="minorHAnsi"/>
          <w:sz w:val="22"/>
        </w:rPr>
        <w:t xml:space="preserve"> </w:t>
      </w:r>
      <w:r w:rsidRPr="002A550C">
        <w:rPr>
          <w:rFonts w:asciiTheme="minorHAnsi" w:hAnsiTheme="minorHAnsi" w:cstheme="minorHAnsi"/>
          <w:sz w:val="22"/>
        </w:rPr>
        <w:t>We do this through engaging, influencing and advising organisations at national level including CQC, DHSC, UKHSA, HDR UK, HRA and many others, as well as through considering the needs of other audiences such as patients, healthcare provider organisations and clinical teams.</w:t>
      </w:r>
    </w:p>
    <w:p w14:paraId="4CEE8F64" w14:textId="77777777" w:rsidR="007752AB" w:rsidRDefault="007752AB" w:rsidP="007752AB">
      <w:pPr>
        <w:rPr>
          <w:rFonts w:asciiTheme="minorHAnsi" w:hAnsiTheme="minorHAnsi" w:cstheme="minorHAnsi"/>
          <w:sz w:val="22"/>
        </w:rPr>
      </w:pPr>
    </w:p>
    <w:p w14:paraId="532F9851" w14:textId="4CE82E39" w:rsidR="007752AB" w:rsidRDefault="007752AB" w:rsidP="007752AB">
      <w:pPr>
        <w:rPr>
          <w:rFonts w:asciiTheme="minorHAnsi" w:hAnsiTheme="minorHAnsi" w:cstheme="minorHAnsi"/>
          <w:sz w:val="22"/>
        </w:rPr>
      </w:pPr>
      <w:r w:rsidRPr="002A550C">
        <w:rPr>
          <w:rFonts w:asciiTheme="minorHAnsi" w:hAnsiTheme="minorHAnsi" w:cstheme="minorHAnsi"/>
          <w:sz w:val="22"/>
        </w:rPr>
        <w:lastRenderedPageBreak/>
        <w:t>The NCAPOP comprises around 40 distinct programmes covering medical and surgical topics for children and adults. HQIP collaborates with patients and expert professional groups to scope each audit topic, before contracting expert delivery teams in universities, royal colleges and other organisations</w:t>
      </w:r>
      <w:r>
        <w:rPr>
          <w:rFonts w:asciiTheme="minorHAnsi" w:hAnsiTheme="minorHAnsi" w:cstheme="minorHAnsi"/>
          <w:sz w:val="22"/>
        </w:rPr>
        <w:t>,</w:t>
      </w:r>
      <w:r w:rsidRPr="002A550C">
        <w:rPr>
          <w:rFonts w:asciiTheme="minorHAnsi" w:hAnsiTheme="minorHAnsi" w:cstheme="minorHAnsi"/>
          <w:sz w:val="22"/>
        </w:rPr>
        <w:t xml:space="preserve"> to deliver each programme under HQIP’s oversight. HQIP adds additional value through enabling wide use of programme results through sharing data and expertise, as well as supporting continued improvements in the utility of the programme outputs to stimulate healthcare improvement.</w:t>
      </w:r>
    </w:p>
    <w:p w14:paraId="63F34A9E" w14:textId="77777777" w:rsidR="007752AB" w:rsidRPr="00A559C8" w:rsidRDefault="007752AB" w:rsidP="007752AB">
      <w:pPr>
        <w:jc w:val="both"/>
        <w:rPr>
          <w:rFonts w:asciiTheme="minorHAnsi" w:hAnsiTheme="minorHAnsi" w:cs="Arial"/>
          <w:sz w:val="22"/>
        </w:rPr>
      </w:pPr>
      <w:r w:rsidRPr="00A559C8">
        <w:rPr>
          <w:rFonts w:asciiTheme="minorHAnsi" w:hAnsiTheme="minorHAnsi" w:cs="Arial"/>
          <w:sz w:val="22"/>
        </w:rPr>
        <w:t xml:space="preserve">To </w:t>
      </w:r>
      <w:r>
        <w:rPr>
          <w:rFonts w:asciiTheme="minorHAnsi" w:hAnsiTheme="minorHAnsi" w:cs="Arial"/>
          <w:sz w:val="22"/>
        </w:rPr>
        <w:t>ensure our work delivers maximum benefits for patients and for healthcare systems, we</w:t>
      </w:r>
      <w:r w:rsidRPr="00A559C8">
        <w:rPr>
          <w:rFonts w:asciiTheme="minorHAnsi" w:hAnsiTheme="minorHAnsi" w:cs="Arial"/>
          <w:sz w:val="22"/>
        </w:rPr>
        <w:t>:</w:t>
      </w:r>
    </w:p>
    <w:p w14:paraId="07827E85" w14:textId="77777777" w:rsidR="007752AB" w:rsidRPr="00A559C8" w:rsidRDefault="007752AB" w:rsidP="007752AB">
      <w:pPr>
        <w:numPr>
          <w:ilvl w:val="0"/>
          <w:numId w:val="1"/>
        </w:numPr>
        <w:tabs>
          <w:tab w:val="clear" w:pos="720"/>
        </w:tabs>
        <w:spacing w:after="0" w:line="240" w:lineRule="auto"/>
        <w:jc w:val="both"/>
        <w:rPr>
          <w:rFonts w:asciiTheme="minorHAnsi" w:hAnsiTheme="minorHAnsi" w:cs="Arial"/>
          <w:sz w:val="22"/>
        </w:rPr>
      </w:pPr>
      <w:r w:rsidRPr="00A559C8">
        <w:rPr>
          <w:rFonts w:asciiTheme="minorHAnsi" w:hAnsiTheme="minorHAnsi" w:cs="Arial"/>
          <w:sz w:val="22"/>
        </w:rPr>
        <w:t>promote engagement in clinical audit and quality improvement initiatives by healthcare professionals of all disciplines and specialties;</w:t>
      </w:r>
    </w:p>
    <w:p w14:paraId="343C761B" w14:textId="77777777" w:rsidR="007752AB" w:rsidRPr="00A559C8" w:rsidRDefault="007752AB" w:rsidP="007752AB">
      <w:pPr>
        <w:numPr>
          <w:ilvl w:val="0"/>
          <w:numId w:val="1"/>
        </w:numPr>
        <w:spacing w:after="0" w:line="240" w:lineRule="auto"/>
        <w:jc w:val="both"/>
        <w:rPr>
          <w:rFonts w:asciiTheme="minorHAnsi" w:hAnsiTheme="minorHAnsi" w:cs="Arial"/>
          <w:sz w:val="22"/>
        </w:rPr>
      </w:pPr>
      <w:r w:rsidRPr="00A559C8">
        <w:rPr>
          <w:rFonts w:asciiTheme="minorHAnsi" w:hAnsiTheme="minorHAnsi" w:cs="Arial"/>
          <w:sz w:val="22"/>
        </w:rPr>
        <w:t>create national and local partnerships between clinicians and patients/service users to optimise the impact of clinical audit;</w:t>
      </w:r>
    </w:p>
    <w:p w14:paraId="0E8BAFB8" w14:textId="77777777" w:rsidR="007752AB" w:rsidRPr="00A559C8" w:rsidRDefault="007752AB" w:rsidP="007752AB">
      <w:pPr>
        <w:numPr>
          <w:ilvl w:val="0"/>
          <w:numId w:val="1"/>
        </w:numPr>
        <w:spacing w:after="0" w:line="240" w:lineRule="auto"/>
        <w:jc w:val="both"/>
        <w:rPr>
          <w:rFonts w:asciiTheme="minorHAnsi" w:hAnsiTheme="minorHAnsi" w:cs="Arial"/>
          <w:sz w:val="22"/>
        </w:rPr>
      </w:pPr>
      <w:r w:rsidRPr="00A559C8">
        <w:rPr>
          <w:rFonts w:asciiTheme="minorHAnsi" w:hAnsiTheme="minorHAnsi" w:cs="Arial"/>
          <w:sz w:val="22"/>
        </w:rPr>
        <w:t>support local audit staff and create seamless links between national and local audit;</w:t>
      </w:r>
    </w:p>
    <w:p w14:paraId="1FE0EB61" w14:textId="77777777" w:rsidR="007752AB" w:rsidRPr="00A559C8" w:rsidRDefault="007752AB" w:rsidP="007752AB">
      <w:pPr>
        <w:numPr>
          <w:ilvl w:val="0"/>
          <w:numId w:val="1"/>
        </w:numPr>
        <w:spacing w:after="0" w:line="240" w:lineRule="auto"/>
        <w:jc w:val="both"/>
        <w:rPr>
          <w:rFonts w:asciiTheme="minorHAnsi" w:hAnsiTheme="minorHAnsi" w:cs="Arial"/>
          <w:sz w:val="22"/>
        </w:rPr>
      </w:pPr>
      <w:r w:rsidRPr="00A559C8">
        <w:rPr>
          <w:rFonts w:asciiTheme="minorHAnsi" w:hAnsiTheme="minorHAnsi" w:cs="Arial"/>
          <w:sz w:val="22"/>
        </w:rPr>
        <w:t>foster active dissemination and implementation of audit results;</w:t>
      </w:r>
    </w:p>
    <w:p w14:paraId="12B2B14C" w14:textId="77777777" w:rsidR="007752AB" w:rsidRPr="00A559C8" w:rsidRDefault="007752AB" w:rsidP="007752AB">
      <w:pPr>
        <w:numPr>
          <w:ilvl w:val="0"/>
          <w:numId w:val="1"/>
        </w:numPr>
        <w:spacing w:after="0" w:line="240" w:lineRule="auto"/>
        <w:jc w:val="both"/>
        <w:rPr>
          <w:rFonts w:asciiTheme="minorHAnsi" w:hAnsiTheme="minorHAnsi" w:cs="Arial"/>
          <w:sz w:val="22"/>
        </w:rPr>
      </w:pPr>
      <w:r w:rsidRPr="00A559C8">
        <w:rPr>
          <w:rFonts w:asciiTheme="minorHAnsi" w:hAnsiTheme="minorHAnsi" w:cs="Arial"/>
          <w:sz w:val="22"/>
        </w:rPr>
        <w:t xml:space="preserve">ensure that evidence about participation in audit, and the results of audit, are used for secondary purposes, including </w:t>
      </w:r>
      <w:r>
        <w:rPr>
          <w:rFonts w:asciiTheme="minorHAnsi" w:hAnsiTheme="minorHAnsi" w:cs="Arial"/>
          <w:sz w:val="22"/>
        </w:rPr>
        <w:t>regulation, policy development and secondary research;</w:t>
      </w:r>
    </w:p>
    <w:p w14:paraId="6C4867E7" w14:textId="77777777" w:rsidR="007752AB" w:rsidRPr="00A559C8" w:rsidRDefault="007752AB" w:rsidP="007752AB">
      <w:pPr>
        <w:numPr>
          <w:ilvl w:val="0"/>
          <w:numId w:val="1"/>
        </w:numPr>
        <w:spacing w:after="0" w:line="240" w:lineRule="auto"/>
        <w:jc w:val="both"/>
        <w:rPr>
          <w:rFonts w:asciiTheme="minorHAnsi" w:hAnsiTheme="minorHAnsi" w:cs="Arial"/>
          <w:sz w:val="22"/>
        </w:rPr>
      </w:pPr>
      <w:r w:rsidRPr="00A559C8">
        <w:rPr>
          <w:rFonts w:asciiTheme="minorHAnsi" w:hAnsiTheme="minorHAnsi" w:cs="Arial"/>
          <w:sz w:val="22"/>
        </w:rPr>
        <w:t>encourage audit in areas of low activity and links with audits outside of the NCAPOP framework;</w:t>
      </w:r>
    </w:p>
    <w:p w14:paraId="30C70B12" w14:textId="77777777" w:rsidR="007752AB" w:rsidRPr="00B6673C" w:rsidRDefault="007752AB" w:rsidP="007752AB">
      <w:pPr>
        <w:ind w:left="113"/>
        <w:jc w:val="both"/>
        <w:rPr>
          <w:rFonts w:asciiTheme="minorHAnsi" w:hAnsiTheme="minorHAnsi" w:cs="Arial"/>
          <w:sz w:val="22"/>
        </w:rPr>
      </w:pPr>
    </w:p>
    <w:p w14:paraId="3D5A5723" w14:textId="3C207411" w:rsidR="00BA5407" w:rsidRPr="007752AB" w:rsidRDefault="007752AB" w:rsidP="00BA5407">
      <w:pPr>
        <w:rPr>
          <w:rFonts w:asciiTheme="minorHAnsi" w:hAnsiTheme="minorHAnsi" w:cs="Arial"/>
          <w:color w:val="0000FF"/>
          <w:sz w:val="22"/>
          <w:u w:val="single"/>
        </w:rPr>
      </w:pPr>
      <w:r w:rsidRPr="00B6673C">
        <w:rPr>
          <w:rFonts w:asciiTheme="minorHAnsi" w:hAnsiTheme="minorHAnsi" w:cs="Arial"/>
          <w:sz w:val="22"/>
        </w:rPr>
        <w:t xml:space="preserve">Further information can be found at </w:t>
      </w:r>
      <w:hyperlink r:id="rId8" w:history="1">
        <w:r w:rsidRPr="00B6673C">
          <w:rPr>
            <w:rStyle w:val="Hyperlink"/>
            <w:rFonts w:asciiTheme="minorHAnsi" w:hAnsiTheme="minorHAnsi" w:cs="Arial"/>
            <w:sz w:val="22"/>
          </w:rPr>
          <w:t>http://www.hqip.org.uk/</w:t>
        </w:r>
      </w:hyperlink>
    </w:p>
    <w:p w14:paraId="696DC93C" w14:textId="3AC8A9EC" w:rsidR="00BA5407" w:rsidRPr="00C1011D" w:rsidRDefault="00BA5407" w:rsidP="00C1011D">
      <w:pPr>
        <w:shd w:val="clear" w:color="auto" w:fill="002060"/>
        <w:rPr>
          <w:rFonts w:asciiTheme="minorHAnsi" w:hAnsiTheme="minorHAnsi" w:cs="Tahoma"/>
          <w:b/>
          <w:color w:val="FFFFFF" w:themeColor="background1"/>
          <w:sz w:val="22"/>
        </w:rPr>
      </w:pPr>
      <w:r w:rsidRPr="006337B8">
        <w:rPr>
          <w:rFonts w:asciiTheme="minorHAnsi" w:hAnsiTheme="minorHAnsi" w:cs="Tahoma"/>
          <w:b/>
          <w:color w:val="FFFFFF" w:themeColor="background1"/>
          <w:sz w:val="22"/>
        </w:rPr>
        <w:t>Purpose of the position</w:t>
      </w:r>
    </w:p>
    <w:p w14:paraId="0871509B" w14:textId="77777777" w:rsidR="00C1011D" w:rsidRPr="00C1011D" w:rsidRDefault="00C1011D" w:rsidP="00C1011D">
      <w:pPr>
        <w:rPr>
          <w:rFonts w:ascii="Calibri" w:hAnsi="Calibri" w:cs="Calibri"/>
          <w:sz w:val="22"/>
        </w:rPr>
      </w:pPr>
      <w:r w:rsidRPr="00C1011D">
        <w:rPr>
          <w:rFonts w:ascii="Calibri" w:hAnsi="Calibri" w:cs="Calibri"/>
          <w:sz w:val="22"/>
        </w:rPr>
        <w:t>This is a career-defining opportunity to shape and lead a new national organisation that will unite and empower the audit, registry, and outcomes community. The Association for Clinical Audit and Registries (ACAR) is being created as an independent, member-led organisation dedicated to improving the quality and safety of healthcare through better use of data, outcomes, and insight.</w:t>
      </w:r>
    </w:p>
    <w:p w14:paraId="7E2DFE75" w14:textId="77777777" w:rsidR="00C1011D" w:rsidRPr="00C1011D" w:rsidRDefault="00C1011D" w:rsidP="00C1011D">
      <w:pPr>
        <w:rPr>
          <w:rFonts w:ascii="Calibri" w:hAnsi="Calibri" w:cs="Calibri"/>
          <w:sz w:val="22"/>
        </w:rPr>
      </w:pPr>
      <w:r w:rsidRPr="00C1011D">
        <w:rPr>
          <w:rFonts w:ascii="Calibri" w:hAnsi="Calibri" w:cs="Calibri"/>
          <w:sz w:val="22"/>
        </w:rPr>
        <w:t>As Associate Director, you will not merely launch a new entity, you will build a lasting professional movement. Your task will be to engage and galvanise the people and organisations that deliver and use clinical audit and outcomes data across the UK, creating a shared platform for collaboration, influence, and improvement.</w:t>
      </w:r>
    </w:p>
    <w:p w14:paraId="00927178" w14:textId="42663424" w:rsidR="00BA5407" w:rsidRDefault="00C1011D" w:rsidP="00BA5407">
      <w:pPr>
        <w:rPr>
          <w:rFonts w:ascii="Calibri" w:hAnsi="Calibri" w:cs="Calibri"/>
          <w:sz w:val="22"/>
        </w:rPr>
      </w:pPr>
      <w:r w:rsidRPr="00C1011D">
        <w:rPr>
          <w:rFonts w:ascii="Calibri" w:hAnsi="Calibri" w:cs="Calibri"/>
          <w:sz w:val="22"/>
        </w:rPr>
        <w:t>This role will appeal to a strategic, well-networked leader who understands the transformational power of collective intelligence, and who is trusted by the communities that underpin national audit, registries, and outcomes programmes.</w:t>
      </w:r>
    </w:p>
    <w:p w14:paraId="29C8F639" w14:textId="42003B79" w:rsidR="00C1011D" w:rsidRPr="00C1011D" w:rsidRDefault="00C1011D" w:rsidP="00C1011D">
      <w:pPr>
        <w:rPr>
          <w:rFonts w:ascii="Calibri" w:hAnsi="Calibri" w:cs="Calibri"/>
          <w:b/>
          <w:bCs/>
          <w:sz w:val="22"/>
        </w:rPr>
      </w:pPr>
      <w:r w:rsidRPr="00C1011D">
        <w:rPr>
          <w:rFonts w:ascii="Calibri" w:hAnsi="Calibri" w:cs="Calibri"/>
          <w:b/>
          <w:bCs/>
          <w:sz w:val="22"/>
        </w:rPr>
        <w:t>The Role</w:t>
      </w:r>
    </w:p>
    <w:p w14:paraId="1D9AAE65" w14:textId="77777777" w:rsidR="00C1011D" w:rsidRPr="00C1011D" w:rsidRDefault="00C1011D" w:rsidP="00C1011D">
      <w:pPr>
        <w:rPr>
          <w:rFonts w:ascii="Calibri" w:hAnsi="Calibri" w:cs="Calibri"/>
          <w:sz w:val="22"/>
        </w:rPr>
      </w:pPr>
      <w:r w:rsidRPr="00C1011D">
        <w:rPr>
          <w:rFonts w:ascii="Calibri" w:hAnsi="Calibri" w:cs="Calibri"/>
          <w:sz w:val="22"/>
        </w:rPr>
        <w:t>This is a pivotal leadership role with national reach. The Associate Director will lead the scoping, development, and early implementation of ACAR. You will be responsible for turning a strong concept, already welcomed in early conversations with NHS England, Royal Colleges, and national audits programmes, into a credible, trusted organisation with real traction and momentum.</w:t>
      </w:r>
    </w:p>
    <w:p w14:paraId="52210952" w14:textId="77777777" w:rsidR="00C1011D" w:rsidRPr="00C1011D" w:rsidRDefault="00C1011D" w:rsidP="00C1011D">
      <w:pPr>
        <w:rPr>
          <w:rFonts w:ascii="Calibri" w:hAnsi="Calibri" w:cs="Calibri"/>
          <w:sz w:val="22"/>
        </w:rPr>
      </w:pPr>
      <w:r w:rsidRPr="00C1011D">
        <w:rPr>
          <w:rFonts w:ascii="Calibri" w:hAnsi="Calibri" w:cs="Calibri"/>
          <w:sz w:val="22"/>
        </w:rPr>
        <w:lastRenderedPageBreak/>
        <w:t>Your success will depend on your ability to bring the community with you. This is a role for someone who can build belief, secure buy-in, and design the infrastructure that supports sustained contribution and shared ownership. You will shape ACAR’s purpose, its voice, and its future, while keeping its foundation grounded in the needs and aspirations of the people who deliver improvement work every day.</w:t>
      </w:r>
    </w:p>
    <w:p w14:paraId="586F6435" w14:textId="77777777" w:rsidR="00C1011D" w:rsidRPr="00C1011D" w:rsidRDefault="00C1011D" w:rsidP="00C1011D">
      <w:pPr>
        <w:rPr>
          <w:rFonts w:ascii="Calibri" w:hAnsi="Calibri" w:cs="Calibri"/>
          <w:b/>
          <w:bCs/>
          <w:sz w:val="22"/>
        </w:rPr>
      </w:pPr>
      <w:r w:rsidRPr="00C1011D">
        <w:rPr>
          <w:rFonts w:ascii="Calibri" w:hAnsi="Calibri" w:cs="Calibri"/>
          <w:b/>
          <w:bCs/>
          <w:sz w:val="22"/>
        </w:rPr>
        <w:t>Why ACAR Matters – and Why the Community Should Shape It</w:t>
      </w:r>
    </w:p>
    <w:p w14:paraId="446421CA" w14:textId="77777777" w:rsidR="00C1011D" w:rsidRPr="00C1011D" w:rsidRDefault="00C1011D" w:rsidP="00C1011D">
      <w:pPr>
        <w:numPr>
          <w:ilvl w:val="0"/>
          <w:numId w:val="4"/>
        </w:numPr>
        <w:spacing w:after="160" w:line="278" w:lineRule="auto"/>
        <w:rPr>
          <w:rFonts w:ascii="Calibri" w:hAnsi="Calibri" w:cs="Calibri"/>
          <w:sz w:val="22"/>
        </w:rPr>
      </w:pPr>
      <w:r w:rsidRPr="00C1011D">
        <w:rPr>
          <w:rFonts w:ascii="Calibri" w:hAnsi="Calibri" w:cs="Calibri"/>
          <w:sz w:val="22"/>
        </w:rPr>
        <w:t>A single platform to influence national policy, standards, and strategy in audit and outcomes</w:t>
      </w:r>
    </w:p>
    <w:p w14:paraId="507128BC" w14:textId="77777777" w:rsidR="00C1011D" w:rsidRPr="00C1011D" w:rsidRDefault="00C1011D" w:rsidP="00C1011D">
      <w:pPr>
        <w:numPr>
          <w:ilvl w:val="0"/>
          <w:numId w:val="4"/>
        </w:numPr>
        <w:spacing w:after="160" w:line="278" w:lineRule="auto"/>
        <w:rPr>
          <w:rFonts w:ascii="Calibri" w:hAnsi="Calibri" w:cs="Calibri"/>
          <w:sz w:val="22"/>
        </w:rPr>
      </w:pPr>
      <w:r w:rsidRPr="00C1011D">
        <w:rPr>
          <w:rFonts w:ascii="Calibri" w:hAnsi="Calibri" w:cs="Calibri"/>
          <w:sz w:val="22"/>
        </w:rPr>
        <w:t>A collective voice on behalf of audit and registry professionals</w:t>
      </w:r>
    </w:p>
    <w:p w14:paraId="203492C9" w14:textId="77777777" w:rsidR="00C1011D" w:rsidRPr="00C1011D" w:rsidRDefault="00C1011D" w:rsidP="00C1011D">
      <w:pPr>
        <w:numPr>
          <w:ilvl w:val="0"/>
          <w:numId w:val="4"/>
        </w:numPr>
        <w:spacing w:after="160" w:line="278" w:lineRule="auto"/>
        <w:rPr>
          <w:rFonts w:ascii="Calibri" w:hAnsi="Calibri" w:cs="Calibri"/>
          <w:sz w:val="22"/>
        </w:rPr>
      </w:pPr>
      <w:r w:rsidRPr="00C1011D">
        <w:rPr>
          <w:rFonts w:ascii="Calibri" w:hAnsi="Calibri" w:cs="Calibri"/>
          <w:sz w:val="22"/>
        </w:rPr>
        <w:t>Shared resources, peer learning, and digital tools to reduce duplication and raise quality</w:t>
      </w:r>
    </w:p>
    <w:p w14:paraId="1BEFDE5F" w14:textId="77777777" w:rsidR="00C1011D" w:rsidRPr="00C1011D" w:rsidRDefault="00C1011D" w:rsidP="00C1011D">
      <w:pPr>
        <w:numPr>
          <w:ilvl w:val="0"/>
          <w:numId w:val="4"/>
        </w:numPr>
        <w:spacing w:after="160" w:line="278" w:lineRule="auto"/>
        <w:rPr>
          <w:rFonts w:ascii="Calibri" w:hAnsi="Calibri" w:cs="Calibri"/>
          <w:sz w:val="22"/>
        </w:rPr>
      </w:pPr>
      <w:r w:rsidRPr="00C1011D">
        <w:rPr>
          <w:rFonts w:ascii="Calibri" w:hAnsi="Calibri" w:cs="Calibri"/>
          <w:sz w:val="22"/>
        </w:rPr>
        <w:t>A home for professional recognition, CPD, and career development</w:t>
      </w:r>
    </w:p>
    <w:p w14:paraId="5C32A293" w14:textId="77777777" w:rsidR="00C1011D" w:rsidRPr="00C1011D" w:rsidRDefault="00C1011D" w:rsidP="00C1011D">
      <w:pPr>
        <w:numPr>
          <w:ilvl w:val="0"/>
          <w:numId w:val="4"/>
        </w:numPr>
        <w:spacing w:after="160" w:line="278" w:lineRule="auto"/>
        <w:rPr>
          <w:rFonts w:ascii="Calibri" w:hAnsi="Calibri" w:cs="Calibri"/>
          <w:sz w:val="22"/>
        </w:rPr>
      </w:pPr>
      <w:r w:rsidRPr="00C1011D">
        <w:rPr>
          <w:rFonts w:ascii="Calibri" w:hAnsi="Calibri" w:cs="Calibri"/>
          <w:sz w:val="22"/>
        </w:rPr>
        <w:t>A trusted, independent intermediary between local practice and national system leadership</w:t>
      </w:r>
    </w:p>
    <w:p w14:paraId="3C732E6E" w14:textId="1DF662A2" w:rsidR="00C1011D" w:rsidRPr="00C1011D" w:rsidRDefault="00C1011D" w:rsidP="00BA5407">
      <w:pPr>
        <w:rPr>
          <w:rFonts w:ascii="Calibri" w:hAnsi="Calibri" w:cs="Calibri"/>
          <w:sz w:val="22"/>
        </w:rPr>
      </w:pPr>
      <w:r w:rsidRPr="00C1011D">
        <w:rPr>
          <w:rFonts w:ascii="Calibri" w:hAnsi="Calibri" w:cs="Calibri"/>
          <w:sz w:val="22"/>
        </w:rPr>
        <w:t>ACAR is being established not for the community, but by the community. This role is central to that vision.</w:t>
      </w:r>
    </w:p>
    <w:p w14:paraId="6445FCD0" w14:textId="0879878F" w:rsidR="00BA5407" w:rsidRPr="00C1011D" w:rsidRDefault="00D907D3" w:rsidP="00C1011D">
      <w:pPr>
        <w:shd w:val="clear" w:color="auto" w:fill="002060"/>
        <w:rPr>
          <w:rFonts w:asciiTheme="minorHAnsi" w:hAnsiTheme="minorHAnsi" w:cs="Tahoma"/>
          <w:b/>
          <w:color w:val="FFFFFF" w:themeColor="background1"/>
          <w:sz w:val="22"/>
        </w:rPr>
      </w:pPr>
      <w:r>
        <w:rPr>
          <w:rFonts w:asciiTheme="minorHAnsi" w:hAnsiTheme="minorHAnsi" w:cs="Tahoma"/>
          <w:b/>
          <w:color w:val="FFFFFF" w:themeColor="background1"/>
          <w:sz w:val="22"/>
        </w:rPr>
        <w:t xml:space="preserve">Key </w:t>
      </w:r>
      <w:r w:rsidR="00BA5407" w:rsidRPr="006337B8">
        <w:rPr>
          <w:rFonts w:asciiTheme="minorHAnsi" w:hAnsiTheme="minorHAnsi" w:cs="Tahoma"/>
          <w:b/>
          <w:color w:val="FFFFFF" w:themeColor="background1"/>
          <w:sz w:val="22"/>
        </w:rPr>
        <w:t xml:space="preserve">Responsibilities and duties  </w:t>
      </w:r>
    </w:p>
    <w:p w14:paraId="0FF3129A" w14:textId="77777777" w:rsidR="00C1011D" w:rsidRPr="00C1011D" w:rsidRDefault="00C1011D" w:rsidP="00C1011D">
      <w:pPr>
        <w:rPr>
          <w:rFonts w:ascii="Calibri" w:hAnsi="Calibri" w:cs="Calibri"/>
          <w:b/>
          <w:bCs/>
          <w:sz w:val="22"/>
        </w:rPr>
      </w:pPr>
      <w:r w:rsidRPr="00C1011D">
        <w:rPr>
          <w:rFonts w:ascii="Calibri" w:hAnsi="Calibri" w:cs="Calibri"/>
          <w:b/>
          <w:bCs/>
          <w:sz w:val="22"/>
        </w:rPr>
        <w:t>1. Vision, Strategy and Scoping</w:t>
      </w:r>
    </w:p>
    <w:p w14:paraId="7B1D5BAF" w14:textId="77777777" w:rsidR="00C1011D" w:rsidRPr="00C1011D" w:rsidRDefault="00C1011D" w:rsidP="00C1011D">
      <w:pPr>
        <w:numPr>
          <w:ilvl w:val="0"/>
          <w:numId w:val="5"/>
        </w:numPr>
        <w:spacing w:after="160" w:line="278" w:lineRule="auto"/>
        <w:rPr>
          <w:rFonts w:ascii="Calibri" w:hAnsi="Calibri" w:cs="Calibri"/>
          <w:sz w:val="22"/>
        </w:rPr>
      </w:pPr>
      <w:r w:rsidRPr="00C1011D">
        <w:rPr>
          <w:rFonts w:ascii="Calibri" w:hAnsi="Calibri" w:cs="Calibri"/>
          <w:sz w:val="22"/>
        </w:rPr>
        <w:t>Refine ACAR’s mission, vision, and objectives in collaboration with audit and registry stakeholders</w:t>
      </w:r>
    </w:p>
    <w:p w14:paraId="30533C31" w14:textId="77777777" w:rsidR="00C1011D" w:rsidRPr="00C1011D" w:rsidRDefault="00C1011D" w:rsidP="00C1011D">
      <w:pPr>
        <w:numPr>
          <w:ilvl w:val="0"/>
          <w:numId w:val="5"/>
        </w:numPr>
        <w:spacing w:after="160" w:line="278" w:lineRule="auto"/>
        <w:rPr>
          <w:rFonts w:ascii="Calibri" w:hAnsi="Calibri" w:cs="Calibri"/>
          <w:sz w:val="22"/>
        </w:rPr>
      </w:pPr>
      <w:r w:rsidRPr="00C1011D">
        <w:rPr>
          <w:rFonts w:ascii="Calibri" w:hAnsi="Calibri" w:cs="Calibri"/>
          <w:sz w:val="22"/>
        </w:rPr>
        <w:t>Develop a clear, phased development plan including membership models, value proposition, and governance</w:t>
      </w:r>
    </w:p>
    <w:p w14:paraId="0438E1C5" w14:textId="77777777" w:rsidR="00C1011D" w:rsidRPr="00C1011D" w:rsidRDefault="00C1011D" w:rsidP="00C1011D">
      <w:pPr>
        <w:numPr>
          <w:ilvl w:val="0"/>
          <w:numId w:val="5"/>
        </w:numPr>
        <w:spacing w:after="160" w:line="278" w:lineRule="auto"/>
        <w:rPr>
          <w:rFonts w:ascii="Calibri" w:hAnsi="Calibri" w:cs="Calibri"/>
          <w:sz w:val="22"/>
        </w:rPr>
      </w:pPr>
      <w:r w:rsidRPr="00C1011D">
        <w:rPr>
          <w:rFonts w:ascii="Calibri" w:hAnsi="Calibri" w:cs="Calibri"/>
          <w:sz w:val="22"/>
        </w:rPr>
        <w:t>Identify market opportunities, strategic partnerships, and early deliverables</w:t>
      </w:r>
    </w:p>
    <w:p w14:paraId="1539FE5D" w14:textId="77777777" w:rsidR="00C1011D" w:rsidRPr="00C1011D" w:rsidRDefault="00C1011D" w:rsidP="00C1011D">
      <w:pPr>
        <w:numPr>
          <w:ilvl w:val="0"/>
          <w:numId w:val="5"/>
        </w:numPr>
        <w:spacing w:after="160" w:line="278" w:lineRule="auto"/>
        <w:rPr>
          <w:rFonts w:ascii="Calibri" w:hAnsi="Calibri" w:cs="Calibri"/>
          <w:sz w:val="22"/>
        </w:rPr>
      </w:pPr>
      <w:r w:rsidRPr="00C1011D">
        <w:rPr>
          <w:rFonts w:ascii="Calibri" w:hAnsi="Calibri" w:cs="Calibri"/>
          <w:sz w:val="22"/>
        </w:rPr>
        <w:t>Design a sustainable operating model and roadmap for long-term growth</w:t>
      </w:r>
    </w:p>
    <w:p w14:paraId="6CDFE74F" w14:textId="77777777" w:rsidR="00C1011D" w:rsidRPr="00C1011D" w:rsidRDefault="00C1011D" w:rsidP="00C1011D">
      <w:pPr>
        <w:rPr>
          <w:rFonts w:ascii="Calibri" w:hAnsi="Calibri" w:cs="Calibri"/>
          <w:b/>
          <w:bCs/>
          <w:sz w:val="22"/>
        </w:rPr>
      </w:pPr>
      <w:r w:rsidRPr="00C1011D">
        <w:rPr>
          <w:rFonts w:ascii="Calibri" w:hAnsi="Calibri" w:cs="Calibri"/>
          <w:b/>
          <w:bCs/>
          <w:sz w:val="22"/>
        </w:rPr>
        <w:t>2. Community Engagement and Movement Building</w:t>
      </w:r>
    </w:p>
    <w:p w14:paraId="64B9C45F" w14:textId="77777777" w:rsidR="00C1011D" w:rsidRPr="00C1011D" w:rsidRDefault="00C1011D" w:rsidP="00C1011D">
      <w:pPr>
        <w:numPr>
          <w:ilvl w:val="0"/>
          <w:numId w:val="6"/>
        </w:numPr>
        <w:spacing w:after="160" w:line="278" w:lineRule="auto"/>
        <w:rPr>
          <w:rFonts w:ascii="Calibri" w:hAnsi="Calibri" w:cs="Calibri"/>
          <w:sz w:val="22"/>
        </w:rPr>
      </w:pPr>
      <w:r w:rsidRPr="00C1011D">
        <w:rPr>
          <w:rFonts w:ascii="Calibri" w:hAnsi="Calibri" w:cs="Calibri"/>
          <w:sz w:val="22"/>
        </w:rPr>
        <w:t>Serve as the lead ambassador for ACAR, engaging stakeholders across NHS England, Trusts, ICBs, Royal Colleges, audit providers, registries, and academic and professional communities</w:t>
      </w:r>
    </w:p>
    <w:p w14:paraId="45AF6852" w14:textId="77777777" w:rsidR="00C1011D" w:rsidRPr="00C1011D" w:rsidRDefault="00C1011D" w:rsidP="00C1011D">
      <w:pPr>
        <w:numPr>
          <w:ilvl w:val="0"/>
          <w:numId w:val="6"/>
        </w:numPr>
        <w:spacing w:after="160" w:line="278" w:lineRule="auto"/>
        <w:rPr>
          <w:rFonts w:ascii="Calibri" w:hAnsi="Calibri" w:cs="Calibri"/>
          <w:sz w:val="22"/>
        </w:rPr>
      </w:pPr>
      <w:r w:rsidRPr="00C1011D">
        <w:rPr>
          <w:rFonts w:ascii="Calibri" w:hAnsi="Calibri" w:cs="Calibri"/>
          <w:sz w:val="22"/>
        </w:rPr>
        <w:t>Build trust and enthusiasm through direct engagement, collaborative forums, and co-design activity</w:t>
      </w:r>
    </w:p>
    <w:p w14:paraId="7541FCA2" w14:textId="77777777" w:rsidR="00C1011D" w:rsidRPr="00C1011D" w:rsidRDefault="00C1011D" w:rsidP="00C1011D">
      <w:pPr>
        <w:numPr>
          <w:ilvl w:val="0"/>
          <w:numId w:val="6"/>
        </w:numPr>
        <w:spacing w:after="160" w:line="278" w:lineRule="auto"/>
        <w:rPr>
          <w:rFonts w:ascii="Calibri" w:hAnsi="Calibri" w:cs="Calibri"/>
          <w:sz w:val="22"/>
        </w:rPr>
      </w:pPr>
      <w:r w:rsidRPr="00C1011D">
        <w:rPr>
          <w:rFonts w:ascii="Calibri" w:hAnsi="Calibri" w:cs="Calibri"/>
          <w:sz w:val="22"/>
        </w:rPr>
        <w:t>Produce compelling communications to inspire participation, including presentations, position papers, and media</w:t>
      </w:r>
    </w:p>
    <w:p w14:paraId="7F85D3CD" w14:textId="77777777" w:rsidR="00C1011D" w:rsidRPr="00C1011D" w:rsidRDefault="00C1011D" w:rsidP="00C1011D">
      <w:pPr>
        <w:numPr>
          <w:ilvl w:val="0"/>
          <w:numId w:val="6"/>
        </w:numPr>
        <w:spacing w:after="160" w:line="278" w:lineRule="auto"/>
        <w:rPr>
          <w:rFonts w:ascii="Calibri" w:hAnsi="Calibri" w:cs="Calibri"/>
          <w:sz w:val="22"/>
        </w:rPr>
      </w:pPr>
      <w:r w:rsidRPr="00C1011D">
        <w:rPr>
          <w:rFonts w:ascii="Calibri" w:hAnsi="Calibri" w:cs="Calibri"/>
          <w:sz w:val="22"/>
        </w:rPr>
        <w:t>Create and implement a visible engagement plan to recruit founding members and early contributors</w:t>
      </w:r>
    </w:p>
    <w:p w14:paraId="4C1B508A" w14:textId="77777777" w:rsidR="00C1011D" w:rsidRPr="00C1011D" w:rsidRDefault="00C1011D" w:rsidP="00C1011D">
      <w:pPr>
        <w:rPr>
          <w:rFonts w:ascii="Calibri" w:hAnsi="Calibri" w:cs="Calibri"/>
          <w:b/>
          <w:bCs/>
          <w:sz w:val="22"/>
        </w:rPr>
      </w:pPr>
      <w:r w:rsidRPr="00C1011D">
        <w:rPr>
          <w:rFonts w:ascii="Calibri" w:hAnsi="Calibri" w:cs="Calibri"/>
          <w:b/>
          <w:bCs/>
          <w:sz w:val="22"/>
        </w:rPr>
        <w:t>3. Governance and Membership Design</w:t>
      </w:r>
    </w:p>
    <w:p w14:paraId="4EED9BB8" w14:textId="77777777" w:rsidR="00C1011D" w:rsidRPr="00C1011D" w:rsidRDefault="00C1011D" w:rsidP="00C1011D">
      <w:pPr>
        <w:numPr>
          <w:ilvl w:val="0"/>
          <w:numId w:val="7"/>
        </w:numPr>
        <w:spacing w:after="160" w:line="278" w:lineRule="auto"/>
        <w:rPr>
          <w:rFonts w:ascii="Calibri" w:hAnsi="Calibri" w:cs="Calibri"/>
          <w:sz w:val="22"/>
        </w:rPr>
      </w:pPr>
      <w:r w:rsidRPr="00C1011D">
        <w:rPr>
          <w:rFonts w:ascii="Calibri" w:hAnsi="Calibri" w:cs="Calibri"/>
          <w:sz w:val="22"/>
        </w:rPr>
        <w:lastRenderedPageBreak/>
        <w:t>Lead the development of an inclusive, transparent governance model</w:t>
      </w:r>
    </w:p>
    <w:p w14:paraId="0C7BB6AB" w14:textId="77777777" w:rsidR="00C1011D" w:rsidRPr="00C1011D" w:rsidRDefault="00C1011D" w:rsidP="00C1011D">
      <w:pPr>
        <w:numPr>
          <w:ilvl w:val="0"/>
          <w:numId w:val="7"/>
        </w:numPr>
        <w:spacing w:after="160" w:line="278" w:lineRule="auto"/>
        <w:rPr>
          <w:rFonts w:ascii="Calibri" w:hAnsi="Calibri" w:cs="Calibri"/>
          <w:sz w:val="22"/>
        </w:rPr>
      </w:pPr>
      <w:r w:rsidRPr="00C1011D">
        <w:rPr>
          <w:rFonts w:ascii="Calibri" w:hAnsi="Calibri" w:cs="Calibri"/>
          <w:sz w:val="22"/>
        </w:rPr>
        <w:t>Define membership categories, benefits, and mechanisms for professional and organisational engagement</w:t>
      </w:r>
    </w:p>
    <w:p w14:paraId="011B62EA" w14:textId="77777777" w:rsidR="00C1011D" w:rsidRPr="00C1011D" w:rsidRDefault="00C1011D" w:rsidP="00C1011D">
      <w:pPr>
        <w:numPr>
          <w:ilvl w:val="0"/>
          <w:numId w:val="7"/>
        </w:numPr>
        <w:spacing w:after="160" w:line="278" w:lineRule="auto"/>
        <w:rPr>
          <w:rFonts w:ascii="Calibri" w:hAnsi="Calibri" w:cs="Calibri"/>
          <w:sz w:val="22"/>
        </w:rPr>
      </w:pPr>
      <w:r w:rsidRPr="00C1011D">
        <w:rPr>
          <w:rFonts w:ascii="Calibri" w:hAnsi="Calibri" w:cs="Calibri"/>
          <w:sz w:val="22"/>
        </w:rPr>
        <w:t>Pilot a founding membership base with targeted outreach to key national audits, registries, and local teams</w:t>
      </w:r>
    </w:p>
    <w:p w14:paraId="12AE659B" w14:textId="77777777" w:rsidR="00C1011D" w:rsidRPr="00C1011D" w:rsidRDefault="00C1011D" w:rsidP="00C1011D">
      <w:pPr>
        <w:numPr>
          <w:ilvl w:val="0"/>
          <w:numId w:val="7"/>
        </w:numPr>
        <w:spacing w:after="160" w:line="278" w:lineRule="auto"/>
        <w:rPr>
          <w:rFonts w:ascii="Calibri" w:hAnsi="Calibri" w:cs="Calibri"/>
          <w:sz w:val="22"/>
        </w:rPr>
      </w:pPr>
      <w:r w:rsidRPr="00C1011D">
        <w:rPr>
          <w:rFonts w:ascii="Calibri" w:hAnsi="Calibri" w:cs="Calibri"/>
          <w:sz w:val="22"/>
        </w:rPr>
        <w:t>Ensure diversity of voice and broad geographical, professional, and sectoral representation</w:t>
      </w:r>
    </w:p>
    <w:p w14:paraId="477CA06F" w14:textId="77777777" w:rsidR="00C1011D" w:rsidRPr="00C1011D" w:rsidRDefault="00C1011D" w:rsidP="00C1011D">
      <w:pPr>
        <w:rPr>
          <w:rFonts w:ascii="Calibri" w:hAnsi="Calibri" w:cs="Calibri"/>
          <w:b/>
          <w:bCs/>
          <w:sz w:val="22"/>
        </w:rPr>
      </w:pPr>
      <w:r w:rsidRPr="00C1011D">
        <w:rPr>
          <w:rFonts w:ascii="Calibri" w:hAnsi="Calibri" w:cs="Calibri"/>
          <w:b/>
          <w:bCs/>
          <w:sz w:val="22"/>
        </w:rPr>
        <w:t>4. Operational Planning and Digital Infrastructure</w:t>
      </w:r>
    </w:p>
    <w:p w14:paraId="13239F5A" w14:textId="77777777" w:rsidR="00C1011D" w:rsidRPr="00C1011D" w:rsidRDefault="00C1011D" w:rsidP="00C1011D">
      <w:pPr>
        <w:numPr>
          <w:ilvl w:val="0"/>
          <w:numId w:val="8"/>
        </w:numPr>
        <w:spacing w:after="160" w:line="278" w:lineRule="auto"/>
        <w:rPr>
          <w:rFonts w:ascii="Calibri" w:hAnsi="Calibri" w:cs="Calibri"/>
          <w:sz w:val="22"/>
        </w:rPr>
      </w:pPr>
      <w:r w:rsidRPr="00C1011D">
        <w:rPr>
          <w:rFonts w:ascii="Calibri" w:hAnsi="Calibri" w:cs="Calibri"/>
          <w:sz w:val="22"/>
        </w:rPr>
        <w:t>Plan and initiate core operational functions including staffing, financial planning, and internal systems</w:t>
      </w:r>
    </w:p>
    <w:p w14:paraId="58A4F365" w14:textId="77777777" w:rsidR="00C1011D" w:rsidRPr="00C1011D" w:rsidRDefault="00C1011D" w:rsidP="00C1011D">
      <w:pPr>
        <w:numPr>
          <w:ilvl w:val="0"/>
          <w:numId w:val="8"/>
        </w:numPr>
        <w:spacing w:after="160" w:line="278" w:lineRule="auto"/>
        <w:rPr>
          <w:rFonts w:ascii="Calibri" w:hAnsi="Calibri" w:cs="Calibri"/>
          <w:sz w:val="22"/>
        </w:rPr>
      </w:pPr>
      <w:r w:rsidRPr="00C1011D">
        <w:rPr>
          <w:rFonts w:ascii="Calibri" w:hAnsi="Calibri" w:cs="Calibri"/>
          <w:sz w:val="22"/>
        </w:rPr>
        <w:t>Collaborate with HQIP and technical partners to develop a centralised digital platform for resources, training, collaboration, and networking</w:t>
      </w:r>
    </w:p>
    <w:p w14:paraId="4B1A5045" w14:textId="77777777" w:rsidR="00C1011D" w:rsidRPr="00C1011D" w:rsidRDefault="00C1011D" w:rsidP="00C1011D">
      <w:pPr>
        <w:numPr>
          <w:ilvl w:val="0"/>
          <w:numId w:val="8"/>
        </w:numPr>
        <w:spacing w:after="160" w:line="278" w:lineRule="auto"/>
        <w:rPr>
          <w:rFonts w:ascii="Calibri" w:hAnsi="Calibri" w:cs="Calibri"/>
          <w:sz w:val="22"/>
        </w:rPr>
      </w:pPr>
      <w:r w:rsidRPr="00C1011D">
        <w:rPr>
          <w:rFonts w:ascii="Calibri" w:hAnsi="Calibri" w:cs="Calibri"/>
          <w:sz w:val="22"/>
        </w:rPr>
        <w:t>Scope accreditation schemes and quality frameworks aligned with NHS Quality Accounts and broader assurance needs</w:t>
      </w:r>
    </w:p>
    <w:p w14:paraId="4B863418" w14:textId="77777777" w:rsidR="00C1011D" w:rsidRPr="00C1011D" w:rsidRDefault="00C1011D" w:rsidP="00C1011D">
      <w:pPr>
        <w:rPr>
          <w:rFonts w:ascii="Calibri" w:hAnsi="Calibri" w:cs="Calibri"/>
          <w:b/>
          <w:bCs/>
          <w:sz w:val="22"/>
        </w:rPr>
      </w:pPr>
      <w:r w:rsidRPr="00C1011D">
        <w:rPr>
          <w:rFonts w:ascii="Calibri" w:hAnsi="Calibri" w:cs="Calibri"/>
          <w:b/>
          <w:bCs/>
          <w:sz w:val="22"/>
        </w:rPr>
        <w:t>5. Early Delivery and Impact Tracking</w:t>
      </w:r>
    </w:p>
    <w:p w14:paraId="76894C11" w14:textId="77777777" w:rsidR="00C1011D" w:rsidRPr="00C1011D" w:rsidRDefault="00C1011D" w:rsidP="00C1011D">
      <w:pPr>
        <w:numPr>
          <w:ilvl w:val="0"/>
          <w:numId w:val="9"/>
        </w:numPr>
        <w:spacing w:after="160" w:line="278" w:lineRule="auto"/>
        <w:rPr>
          <w:rFonts w:ascii="Calibri" w:hAnsi="Calibri" w:cs="Calibri"/>
          <w:sz w:val="22"/>
        </w:rPr>
      </w:pPr>
      <w:r w:rsidRPr="00C1011D">
        <w:rPr>
          <w:rFonts w:ascii="Calibri" w:hAnsi="Calibri" w:cs="Calibri"/>
          <w:sz w:val="22"/>
        </w:rPr>
        <w:t>Deliver early-stage pilots or products, such as CPD-accredited training offers, shared learning events, and prototype digital tools</w:t>
      </w:r>
    </w:p>
    <w:p w14:paraId="0C380FBB" w14:textId="77777777" w:rsidR="00C1011D" w:rsidRPr="00C1011D" w:rsidRDefault="00C1011D" w:rsidP="00C1011D">
      <w:pPr>
        <w:numPr>
          <w:ilvl w:val="0"/>
          <w:numId w:val="9"/>
        </w:numPr>
        <w:spacing w:after="160" w:line="278" w:lineRule="auto"/>
        <w:rPr>
          <w:rFonts w:ascii="Calibri" w:hAnsi="Calibri" w:cs="Calibri"/>
          <w:sz w:val="22"/>
        </w:rPr>
      </w:pPr>
      <w:r w:rsidRPr="00C1011D">
        <w:rPr>
          <w:rFonts w:ascii="Calibri" w:hAnsi="Calibri" w:cs="Calibri"/>
          <w:sz w:val="22"/>
        </w:rPr>
        <w:t>Establish evaluation frameworks and feedback loops to ensure responsiveness and continuous improvement</w:t>
      </w:r>
    </w:p>
    <w:p w14:paraId="30A287C0" w14:textId="7B701DC1" w:rsidR="00C1011D" w:rsidRPr="00C1011D" w:rsidRDefault="00C1011D" w:rsidP="00C1011D">
      <w:pPr>
        <w:numPr>
          <w:ilvl w:val="0"/>
          <w:numId w:val="9"/>
        </w:numPr>
        <w:spacing w:after="160" w:line="278" w:lineRule="auto"/>
        <w:rPr>
          <w:rFonts w:ascii="Calibri" w:hAnsi="Calibri" w:cs="Calibri"/>
          <w:sz w:val="22"/>
        </w:rPr>
      </w:pPr>
      <w:r w:rsidRPr="00C1011D">
        <w:rPr>
          <w:rFonts w:ascii="Calibri" w:hAnsi="Calibri" w:cs="Calibri"/>
          <w:sz w:val="22"/>
        </w:rPr>
        <w:t>Position ACAR as a credible and agile partner to the system and an advocate for its members</w:t>
      </w:r>
    </w:p>
    <w:p w14:paraId="663E8E90" w14:textId="77777777" w:rsidR="00C1011D" w:rsidRPr="00C1011D" w:rsidRDefault="00C1011D" w:rsidP="00C1011D">
      <w:pPr>
        <w:rPr>
          <w:rFonts w:ascii="Calibri" w:hAnsi="Calibri" w:cs="Calibri"/>
          <w:b/>
          <w:bCs/>
          <w:sz w:val="22"/>
        </w:rPr>
      </w:pPr>
      <w:r w:rsidRPr="00C1011D">
        <w:rPr>
          <w:rFonts w:ascii="Calibri" w:hAnsi="Calibri" w:cs="Calibri"/>
          <w:b/>
          <w:bCs/>
          <w:sz w:val="22"/>
        </w:rPr>
        <w:t>What Kind of Leader Are We Looking For?</w:t>
      </w:r>
    </w:p>
    <w:p w14:paraId="08F024E6" w14:textId="77777777" w:rsidR="00C1011D" w:rsidRPr="00C1011D" w:rsidRDefault="00C1011D" w:rsidP="00C1011D">
      <w:pPr>
        <w:rPr>
          <w:rFonts w:ascii="Calibri" w:hAnsi="Calibri" w:cs="Calibri"/>
          <w:sz w:val="22"/>
        </w:rPr>
      </w:pPr>
      <w:r w:rsidRPr="00C1011D">
        <w:rPr>
          <w:rFonts w:ascii="Calibri" w:hAnsi="Calibri" w:cs="Calibri"/>
          <w:sz w:val="22"/>
        </w:rPr>
        <w:t>We are seeking someone who is:</w:t>
      </w:r>
    </w:p>
    <w:p w14:paraId="7FC44552" w14:textId="77777777" w:rsidR="00C1011D" w:rsidRPr="00C1011D" w:rsidRDefault="00C1011D" w:rsidP="00C1011D">
      <w:pPr>
        <w:numPr>
          <w:ilvl w:val="0"/>
          <w:numId w:val="10"/>
        </w:numPr>
        <w:spacing w:after="160" w:line="278" w:lineRule="auto"/>
        <w:rPr>
          <w:rFonts w:ascii="Calibri" w:hAnsi="Calibri" w:cs="Calibri"/>
          <w:sz w:val="22"/>
        </w:rPr>
      </w:pPr>
      <w:r w:rsidRPr="00C1011D">
        <w:rPr>
          <w:rFonts w:ascii="Calibri" w:hAnsi="Calibri" w:cs="Calibri"/>
          <w:sz w:val="22"/>
        </w:rPr>
        <w:t>A natural coalition-builder with presence and credibility across the sector</w:t>
      </w:r>
    </w:p>
    <w:p w14:paraId="27A45CB7" w14:textId="77777777" w:rsidR="00C1011D" w:rsidRPr="00C1011D" w:rsidRDefault="00C1011D" w:rsidP="00C1011D">
      <w:pPr>
        <w:numPr>
          <w:ilvl w:val="0"/>
          <w:numId w:val="10"/>
        </w:numPr>
        <w:spacing w:after="160" w:line="278" w:lineRule="auto"/>
        <w:rPr>
          <w:rFonts w:ascii="Calibri" w:hAnsi="Calibri" w:cs="Calibri"/>
          <w:sz w:val="22"/>
        </w:rPr>
      </w:pPr>
      <w:r w:rsidRPr="00C1011D">
        <w:rPr>
          <w:rFonts w:ascii="Calibri" w:hAnsi="Calibri" w:cs="Calibri"/>
          <w:sz w:val="22"/>
        </w:rPr>
        <w:t>An excellent communicator, comfortable leading from the front</w:t>
      </w:r>
    </w:p>
    <w:p w14:paraId="6785B11E" w14:textId="77777777" w:rsidR="00C1011D" w:rsidRPr="00C1011D" w:rsidRDefault="00C1011D" w:rsidP="00C1011D">
      <w:pPr>
        <w:numPr>
          <w:ilvl w:val="0"/>
          <w:numId w:val="10"/>
        </w:numPr>
        <w:spacing w:after="160" w:line="278" w:lineRule="auto"/>
        <w:rPr>
          <w:rFonts w:ascii="Calibri" w:hAnsi="Calibri" w:cs="Calibri"/>
          <w:sz w:val="22"/>
        </w:rPr>
      </w:pPr>
      <w:r w:rsidRPr="00C1011D">
        <w:rPr>
          <w:rFonts w:ascii="Calibri" w:hAnsi="Calibri" w:cs="Calibri"/>
          <w:sz w:val="22"/>
        </w:rPr>
        <w:t>Strategic, but unafraid to get into the detail and deliver</w:t>
      </w:r>
    </w:p>
    <w:p w14:paraId="0EE8C789" w14:textId="77777777" w:rsidR="00C1011D" w:rsidRPr="00C1011D" w:rsidRDefault="00C1011D" w:rsidP="00C1011D">
      <w:pPr>
        <w:numPr>
          <w:ilvl w:val="0"/>
          <w:numId w:val="10"/>
        </w:numPr>
        <w:spacing w:after="160" w:line="278" w:lineRule="auto"/>
        <w:rPr>
          <w:rFonts w:ascii="Calibri" w:hAnsi="Calibri" w:cs="Calibri"/>
          <w:sz w:val="22"/>
        </w:rPr>
      </w:pPr>
      <w:r w:rsidRPr="00C1011D">
        <w:rPr>
          <w:rFonts w:ascii="Calibri" w:hAnsi="Calibri" w:cs="Calibri"/>
          <w:sz w:val="22"/>
        </w:rPr>
        <w:t>Trusted by clinical leaders, analysts, and policy teams alike</w:t>
      </w:r>
    </w:p>
    <w:p w14:paraId="133B7B02" w14:textId="77777777" w:rsidR="00C1011D" w:rsidRPr="00C1011D" w:rsidRDefault="00C1011D" w:rsidP="00C1011D">
      <w:pPr>
        <w:numPr>
          <w:ilvl w:val="0"/>
          <w:numId w:val="10"/>
        </w:numPr>
        <w:spacing w:after="160" w:line="278" w:lineRule="auto"/>
        <w:rPr>
          <w:rFonts w:ascii="Calibri" w:hAnsi="Calibri" w:cs="Calibri"/>
          <w:sz w:val="22"/>
        </w:rPr>
      </w:pPr>
      <w:r w:rsidRPr="00C1011D">
        <w:rPr>
          <w:rFonts w:ascii="Calibri" w:hAnsi="Calibri" w:cs="Calibri"/>
          <w:sz w:val="22"/>
        </w:rPr>
        <w:t>Genuinely passionate about audit, data, and improvement</w:t>
      </w:r>
    </w:p>
    <w:p w14:paraId="6BEAC3F5" w14:textId="77777777" w:rsidR="00C1011D" w:rsidRPr="00C1011D" w:rsidRDefault="00C1011D" w:rsidP="00C1011D">
      <w:pPr>
        <w:numPr>
          <w:ilvl w:val="0"/>
          <w:numId w:val="10"/>
        </w:numPr>
        <w:spacing w:after="160" w:line="278" w:lineRule="auto"/>
        <w:rPr>
          <w:rFonts w:ascii="Calibri" w:hAnsi="Calibri" w:cs="Calibri"/>
          <w:sz w:val="22"/>
        </w:rPr>
      </w:pPr>
      <w:r w:rsidRPr="00C1011D">
        <w:rPr>
          <w:rFonts w:ascii="Calibri" w:hAnsi="Calibri" w:cs="Calibri"/>
          <w:sz w:val="22"/>
        </w:rPr>
        <w:t>Ready to lead a community, not just a programme</w:t>
      </w:r>
    </w:p>
    <w:p w14:paraId="2E048986" w14:textId="1755A8D9" w:rsidR="00BA5407" w:rsidRPr="001201F5" w:rsidRDefault="00BA5407" w:rsidP="001201F5">
      <w:pPr>
        <w:pStyle w:val="ListParagraph"/>
        <w:rPr>
          <w:rFonts w:asciiTheme="minorHAnsi" w:hAnsiTheme="minorHAnsi" w:cs="Arial"/>
          <w:b/>
          <w:color w:val="FF0000"/>
          <w:sz w:val="22"/>
          <w:szCs w:val="22"/>
        </w:rPr>
      </w:pPr>
    </w:p>
    <w:p w14:paraId="7F1C9C10" w14:textId="77777777" w:rsidR="00BA5407" w:rsidRPr="00020C42" w:rsidRDefault="00BA5407" w:rsidP="00BA5407">
      <w:pPr>
        <w:rPr>
          <w:rFonts w:cs="Arial"/>
          <w:b/>
          <w:sz w:val="22"/>
        </w:rPr>
      </w:pPr>
    </w:p>
    <w:p w14:paraId="079C0F79" w14:textId="77777777" w:rsidR="00BA5407" w:rsidRDefault="00BA5407" w:rsidP="00BA5407">
      <w:pPr>
        <w:rPr>
          <w:rFonts w:cs="Arial"/>
          <w:b/>
          <w:sz w:val="22"/>
        </w:rPr>
      </w:pPr>
    </w:p>
    <w:p w14:paraId="6850759A" w14:textId="77777777" w:rsidR="00BA5407" w:rsidRPr="00020C42" w:rsidRDefault="00BA5407" w:rsidP="00BA5407">
      <w:pPr>
        <w:ind w:left="357"/>
        <w:rPr>
          <w:rFonts w:asciiTheme="minorHAnsi" w:hAnsiTheme="minorHAnsi"/>
          <w:b/>
          <w:sz w:val="22"/>
          <w:u w:val="single"/>
        </w:rPr>
      </w:pPr>
    </w:p>
    <w:p w14:paraId="4DB0B632" w14:textId="724986C6" w:rsidR="00BA5407" w:rsidRDefault="00BA5407" w:rsidP="004E5CD8">
      <w:pPr>
        <w:outlineLvl w:val="0"/>
        <w:rPr>
          <w:rFonts w:asciiTheme="minorHAnsi" w:hAnsiTheme="minorHAnsi"/>
          <w:b/>
          <w:sz w:val="22"/>
        </w:rPr>
      </w:pPr>
    </w:p>
    <w:p w14:paraId="31D78769" w14:textId="77777777" w:rsidR="00BA5407" w:rsidRPr="00020C42" w:rsidRDefault="00BA5407" w:rsidP="00BA5407">
      <w:pPr>
        <w:jc w:val="center"/>
        <w:outlineLvl w:val="0"/>
        <w:rPr>
          <w:rFonts w:asciiTheme="minorHAnsi" w:hAnsiTheme="minorHAnsi"/>
          <w:b/>
          <w:sz w:val="22"/>
        </w:rPr>
      </w:pPr>
      <w:r w:rsidRPr="00020C42">
        <w:rPr>
          <w:rFonts w:asciiTheme="minorHAnsi" w:hAnsiTheme="minorHAnsi"/>
          <w:b/>
          <w:sz w:val="22"/>
        </w:rPr>
        <w:t>Person Specification</w:t>
      </w:r>
    </w:p>
    <w:p w14:paraId="34728809" w14:textId="77777777" w:rsidR="00BA5407" w:rsidRPr="00020C42" w:rsidRDefault="00BA5407" w:rsidP="00BA5407">
      <w:pPr>
        <w:jc w:val="center"/>
        <w:outlineLvl w:val="0"/>
        <w:rPr>
          <w:rFonts w:asciiTheme="minorHAnsi" w:hAnsiTheme="minorHAnsi"/>
          <w:b/>
          <w:sz w:val="22"/>
        </w:rPr>
      </w:pPr>
    </w:p>
    <w:tbl>
      <w:tblPr>
        <w:tblW w:w="56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5731"/>
        <w:gridCol w:w="1840"/>
      </w:tblGrid>
      <w:tr w:rsidR="003E39C2" w:rsidRPr="00020C42" w14:paraId="78979568" w14:textId="77777777" w:rsidTr="003E39C2">
        <w:tc>
          <w:tcPr>
            <w:tcW w:w="1116" w:type="pct"/>
            <w:shd w:val="clear" w:color="auto" w:fill="002060"/>
          </w:tcPr>
          <w:p w14:paraId="28D98049" w14:textId="77777777" w:rsidR="003E39C2" w:rsidRPr="00020C42" w:rsidRDefault="003E39C2" w:rsidP="00D13F07">
            <w:pPr>
              <w:outlineLvl w:val="0"/>
              <w:rPr>
                <w:rFonts w:asciiTheme="minorHAnsi" w:hAnsiTheme="minorHAnsi"/>
                <w:b/>
                <w:sz w:val="22"/>
              </w:rPr>
            </w:pPr>
          </w:p>
          <w:p w14:paraId="3B1B4125" w14:textId="77777777" w:rsidR="003E39C2" w:rsidRPr="00020C42" w:rsidRDefault="003E39C2" w:rsidP="00D13F07">
            <w:pPr>
              <w:outlineLvl w:val="0"/>
              <w:rPr>
                <w:rFonts w:asciiTheme="minorHAnsi" w:hAnsiTheme="minorHAnsi"/>
                <w:b/>
                <w:sz w:val="22"/>
              </w:rPr>
            </w:pPr>
          </w:p>
        </w:tc>
        <w:tc>
          <w:tcPr>
            <w:tcW w:w="2940" w:type="pct"/>
            <w:shd w:val="clear" w:color="auto" w:fill="C6D9F1" w:themeFill="text2" w:themeFillTint="33"/>
          </w:tcPr>
          <w:p w14:paraId="1F9EED01" w14:textId="77777777" w:rsidR="003E39C2" w:rsidRPr="00020C42" w:rsidRDefault="003E39C2" w:rsidP="00D13F07">
            <w:pPr>
              <w:jc w:val="center"/>
              <w:outlineLvl w:val="0"/>
              <w:rPr>
                <w:rFonts w:asciiTheme="minorHAnsi" w:hAnsiTheme="minorHAnsi"/>
                <w:b/>
                <w:sz w:val="22"/>
              </w:rPr>
            </w:pPr>
            <w:r w:rsidRPr="00020C42">
              <w:rPr>
                <w:rFonts w:asciiTheme="minorHAnsi" w:hAnsiTheme="minorHAnsi"/>
                <w:b/>
                <w:sz w:val="22"/>
              </w:rPr>
              <w:t>Essential</w:t>
            </w:r>
          </w:p>
        </w:tc>
        <w:tc>
          <w:tcPr>
            <w:tcW w:w="944" w:type="pct"/>
            <w:shd w:val="clear" w:color="auto" w:fill="CCFFCC"/>
          </w:tcPr>
          <w:p w14:paraId="53F70675" w14:textId="5FB91903" w:rsidR="003E39C2" w:rsidRPr="00733EAF" w:rsidRDefault="003E39C2" w:rsidP="00D13F07">
            <w:pPr>
              <w:widowControl w:val="0"/>
              <w:autoSpaceDE w:val="0"/>
              <w:autoSpaceDN w:val="0"/>
              <w:adjustRightInd w:val="0"/>
              <w:spacing w:line="267" w:lineRule="exact"/>
              <w:ind w:left="34" w:right="-20"/>
              <w:rPr>
                <w:rFonts w:asciiTheme="minorHAnsi" w:hAnsiTheme="minorHAnsi" w:cs="Calibri"/>
                <w:b/>
                <w:sz w:val="22"/>
              </w:rPr>
            </w:pPr>
            <w:r>
              <w:rPr>
                <w:rFonts w:asciiTheme="minorHAnsi" w:hAnsiTheme="minorHAnsi" w:cs="Calibri"/>
                <w:b/>
                <w:position w:val="1"/>
                <w:sz w:val="22"/>
              </w:rPr>
              <w:t xml:space="preserve">Assessed </w:t>
            </w:r>
            <w:r w:rsidRPr="00733EAF">
              <w:rPr>
                <w:rFonts w:asciiTheme="minorHAnsi" w:hAnsiTheme="minorHAnsi" w:cs="Calibri"/>
                <w:b/>
                <w:position w:val="1"/>
                <w:sz w:val="22"/>
              </w:rPr>
              <w:t>t</w:t>
            </w:r>
            <w:r w:rsidRPr="00733EAF">
              <w:rPr>
                <w:rFonts w:asciiTheme="minorHAnsi" w:hAnsiTheme="minorHAnsi" w:cs="Calibri"/>
                <w:b/>
                <w:spacing w:val="-1"/>
                <w:position w:val="1"/>
                <w:sz w:val="22"/>
              </w:rPr>
              <w:t>h</w:t>
            </w:r>
            <w:r w:rsidRPr="00733EAF">
              <w:rPr>
                <w:rFonts w:asciiTheme="minorHAnsi" w:hAnsiTheme="minorHAnsi" w:cs="Calibri"/>
                <w:b/>
                <w:position w:val="1"/>
                <w:sz w:val="22"/>
              </w:rPr>
              <w:t>r</w:t>
            </w:r>
            <w:r w:rsidRPr="00733EAF">
              <w:rPr>
                <w:rFonts w:asciiTheme="minorHAnsi" w:hAnsiTheme="minorHAnsi" w:cs="Calibri"/>
                <w:b/>
                <w:spacing w:val="1"/>
                <w:position w:val="1"/>
                <w:sz w:val="22"/>
              </w:rPr>
              <w:t>o</w:t>
            </w:r>
            <w:r w:rsidRPr="00733EAF">
              <w:rPr>
                <w:rFonts w:asciiTheme="minorHAnsi" w:hAnsiTheme="minorHAnsi" w:cs="Calibri"/>
                <w:b/>
                <w:spacing w:val="-1"/>
                <w:position w:val="1"/>
                <w:sz w:val="22"/>
              </w:rPr>
              <w:t>ug</w:t>
            </w:r>
            <w:r w:rsidRPr="00733EAF">
              <w:rPr>
                <w:rFonts w:asciiTheme="minorHAnsi" w:hAnsiTheme="minorHAnsi" w:cs="Calibri"/>
                <w:b/>
                <w:position w:val="1"/>
                <w:sz w:val="22"/>
              </w:rPr>
              <w:t>h</w:t>
            </w:r>
          </w:p>
          <w:p w14:paraId="46BF8D6C" w14:textId="2C4A76BC" w:rsidR="003E39C2" w:rsidRPr="00733EAF" w:rsidRDefault="003E39C2" w:rsidP="00D13F07">
            <w:pPr>
              <w:widowControl w:val="0"/>
              <w:autoSpaceDE w:val="0"/>
              <w:autoSpaceDN w:val="0"/>
              <w:adjustRightInd w:val="0"/>
              <w:spacing w:before="2"/>
              <w:ind w:left="34" w:right="-20"/>
              <w:rPr>
                <w:rFonts w:asciiTheme="minorHAnsi" w:hAnsiTheme="minorHAnsi" w:cs="Calibri"/>
                <w:b/>
                <w:sz w:val="22"/>
              </w:rPr>
            </w:pPr>
            <w:r>
              <w:rPr>
                <w:rFonts w:asciiTheme="minorHAnsi" w:hAnsiTheme="minorHAnsi" w:cs="Calibri"/>
                <w:b/>
                <w:bCs/>
                <w:sz w:val="22"/>
              </w:rPr>
              <w:t>A</w:t>
            </w:r>
            <w:r w:rsidRPr="00733EAF">
              <w:rPr>
                <w:rFonts w:asciiTheme="minorHAnsi" w:hAnsiTheme="minorHAnsi" w:cs="Calibri"/>
                <w:b/>
                <w:bCs/>
                <w:sz w:val="22"/>
              </w:rPr>
              <w:t xml:space="preserve"> –</w:t>
            </w:r>
            <w:r w:rsidRPr="00733EAF">
              <w:rPr>
                <w:rFonts w:asciiTheme="minorHAnsi" w:hAnsiTheme="minorHAnsi" w:cs="Calibri"/>
                <w:b/>
                <w:bCs/>
                <w:spacing w:val="-1"/>
                <w:sz w:val="22"/>
              </w:rPr>
              <w:t xml:space="preserve"> </w:t>
            </w:r>
            <w:r>
              <w:rPr>
                <w:rFonts w:asciiTheme="minorHAnsi" w:hAnsiTheme="minorHAnsi" w:cs="Calibri"/>
                <w:b/>
                <w:bCs/>
                <w:sz w:val="22"/>
              </w:rPr>
              <w:t xml:space="preserve">application form </w:t>
            </w:r>
          </w:p>
          <w:p w14:paraId="6CBBB83B" w14:textId="0883F6E1" w:rsidR="003E39C2" w:rsidRPr="00450804" w:rsidRDefault="003E39C2" w:rsidP="00450804">
            <w:pPr>
              <w:widowControl w:val="0"/>
              <w:autoSpaceDE w:val="0"/>
              <w:autoSpaceDN w:val="0"/>
              <w:adjustRightInd w:val="0"/>
              <w:spacing w:line="242" w:lineRule="exact"/>
              <w:ind w:left="34" w:right="-20"/>
              <w:rPr>
                <w:rFonts w:asciiTheme="minorHAnsi" w:hAnsiTheme="minorHAnsi" w:cs="Calibri"/>
                <w:b/>
                <w:sz w:val="22"/>
              </w:rPr>
            </w:pPr>
            <w:r w:rsidRPr="00733EAF">
              <w:rPr>
                <w:rFonts w:asciiTheme="minorHAnsi" w:hAnsiTheme="minorHAnsi" w:cs="Calibri"/>
                <w:b/>
                <w:bCs/>
                <w:position w:val="1"/>
                <w:sz w:val="22"/>
              </w:rPr>
              <w:t>I</w:t>
            </w:r>
            <w:r w:rsidRPr="00733EAF">
              <w:rPr>
                <w:rFonts w:asciiTheme="minorHAnsi" w:hAnsiTheme="minorHAnsi" w:cs="Calibri"/>
                <w:b/>
                <w:bCs/>
                <w:spacing w:val="-1"/>
                <w:position w:val="1"/>
                <w:sz w:val="22"/>
              </w:rPr>
              <w:t xml:space="preserve"> </w:t>
            </w:r>
            <w:r w:rsidRPr="00733EAF">
              <w:rPr>
                <w:rFonts w:asciiTheme="minorHAnsi" w:hAnsiTheme="minorHAnsi" w:cs="Calibri"/>
                <w:b/>
                <w:bCs/>
                <w:position w:val="1"/>
                <w:sz w:val="22"/>
              </w:rPr>
              <w:t>–</w:t>
            </w:r>
            <w:r w:rsidRPr="00733EAF">
              <w:rPr>
                <w:rFonts w:asciiTheme="minorHAnsi" w:hAnsiTheme="minorHAnsi" w:cs="Calibri"/>
                <w:b/>
                <w:bCs/>
                <w:spacing w:val="-1"/>
                <w:position w:val="1"/>
                <w:sz w:val="22"/>
              </w:rPr>
              <w:t xml:space="preserve"> </w:t>
            </w:r>
            <w:r w:rsidRPr="00733EAF">
              <w:rPr>
                <w:rFonts w:asciiTheme="minorHAnsi" w:hAnsiTheme="minorHAnsi" w:cs="Calibri"/>
                <w:b/>
                <w:bCs/>
                <w:position w:val="1"/>
                <w:sz w:val="22"/>
              </w:rPr>
              <w:t>I</w:t>
            </w:r>
            <w:r w:rsidRPr="00733EAF">
              <w:rPr>
                <w:rFonts w:asciiTheme="minorHAnsi" w:hAnsiTheme="minorHAnsi" w:cs="Calibri"/>
                <w:b/>
                <w:bCs/>
                <w:spacing w:val="1"/>
                <w:position w:val="1"/>
                <w:sz w:val="22"/>
              </w:rPr>
              <w:t>n</w:t>
            </w:r>
            <w:r w:rsidRPr="00733EAF">
              <w:rPr>
                <w:rFonts w:asciiTheme="minorHAnsi" w:hAnsiTheme="minorHAnsi" w:cs="Calibri"/>
                <w:b/>
                <w:bCs/>
                <w:position w:val="1"/>
                <w:sz w:val="22"/>
              </w:rPr>
              <w:t>t</w:t>
            </w:r>
            <w:r w:rsidRPr="00733EAF">
              <w:rPr>
                <w:rFonts w:asciiTheme="minorHAnsi" w:hAnsiTheme="minorHAnsi" w:cs="Calibri"/>
                <w:b/>
                <w:bCs/>
                <w:spacing w:val="1"/>
                <w:position w:val="1"/>
                <w:sz w:val="22"/>
              </w:rPr>
              <w:t>er</w:t>
            </w:r>
            <w:r w:rsidRPr="00733EAF">
              <w:rPr>
                <w:rFonts w:asciiTheme="minorHAnsi" w:hAnsiTheme="minorHAnsi" w:cs="Calibri"/>
                <w:b/>
                <w:bCs/>
                <w:spacing w:val="-1"/>
                <w:position w:val="1"/>
                <w:sz w:val="22"/>
              </w:rPr>
              <w:t>vi</w:t>
            </w:r>
            <w:r w:rsidRPr="00733EAF">
              <w:rPr>
                <w:rFonts w:asciiTheme="minorHAnsi" w:hAnsiTheme="minorHAnsi" w:cs="Calibri"/>
                <w:b/>
                <w:bCs/>
                <w:spacing w:val="1"/>
                <w:position w:val="1"/>
                <w:sz w:val="22"/>
              </w:rPr>
              <w:t>ew</w:t>
            </w:r>
          </w:p>
        </w:tc>
      </w:tr>
      <w:tr w:rsidR="003E39C2" w:rsidRPr="00020C42" w14:paraId="5DAF0361" w14:textId="77777777" w:rsidTr="003E39C2">
        <w:trPr>
          <w:trHeight w:val="1570"/>
        </w:trPr>
        <w:tc>
          <w:tcPr>
            <w:tcW w:w="1116" w:type="pct"/>
            <w:shd w:val="clear" w:color="auto" w:fill="002060"/>
          </w:tcPr>
          <w:p w14:paraId="76F3E511" w14:textId="15735954" w:rsidR="003E39C2" w:rsidRPr="003E39C2" w:rsidRDefault="003E39C2" w:rsidP="00D13F07">
            <w:pPr>
              <w:outlineLvl w:val="0"/>
              <w:rPr>
                <w:rFonts w:asciiTheme="minorHAnsi" w:hAnsiTheme="minorHAnsi"/>
                <w:b/>
                <w:bCs/>
                <w:sz w:val="24"/>
                <w:szCs w:val="24"/>
              </w:rPr>
            </w:pPr>
            <w:r w:rsidRPr="003E39C2">
              <w:rPr>
                <w:rFonts w:asciiTheme="minorHAnsi" w:hAnsiTheme="minorHAnsi"/>
                <w:b/>
                <w:bCs/>
                <w:sz w:val="24"/>
                <w:szCs w:val="24"/>
              </w:rPr>
              <w:t xml:space="preserve">Qualifications </w:t>
            </w:r>
          </w:p>
        </w:tc>
        <w:tc>
          <w:tcPr>
            <w:tcW w:w="2940" w:type="pct"/>
            <w:shd w:val="clear" w:color="auto" w:fill="C6D9F1" w:themeFill="text2" w:themeFillTint="33"/>
          </w:tcPr>
          <w:p w14:paraId="10AB40E9" w14:textId="77777777" w:rsidR="003E39C2" w:rsidRPr="00734500" w:rsidRDefault="003E39C2" w:rsidP="003E39C2">
            <w:pPr>
              <w:numPr>
                <w:ilvl w:val="0"/>
                <w:numId w:val="10"/>
              </w:numPr>
              <w:spacing w:after="160" w:line="278" w:lineRule="auto"/>
              <w:rPr>
                <w:rFonts w:ascii="Calibri" w:hAnsi="Calibri" w:cs="Calibri"/>
              </w:rPr>
            </w:pPr>
            <w:r w:rsidRPr="00734500">
              <w:rPr>
                <w:rFonts w:ascii="Calibri" w:hAnsi="Calibri" w:cs="Calibri"/>
              </w:rPr>
              <w:t>A degree or equivalent experience in a relevant field such as healthcare, policy, data, improvement, or organisational development</w:t>
            </w:r>
          </w:p>
          <w:p w14:paraId="14E5F042" w14:textId="77777777" w:rsidR="003E39C2" w:rsidRPr="00734500" w:rsidRDefault="003E39C2" w:rsidP="003E39C2">
            <w:pPr>
              <w:numPr>
                <w:ilvl w:val="0"/>
                <w:numId w:val="10"/>
              </w:numPr>
              <w:spacing w:after="160" w:line="278" w:lineRule="auto"/>
              <w:rPr>
                <w:rFonts w:ascii="Calibri" w:hAnsi="Calibri" w:cs="Calibri"/>
              </w:rPr>
            </w:pPr>
            <w:r w:rsidRPr="00734500">
              <w:rPr>
                <w:rFonts w:ascii="Calibri" w:hAnsi="Calibri" w:cs="Calibri"/>
              </w:rPr>
              <w:t>A postgraduate qualification (e.g. MSc, MPH, MBA, or similar) is welcomed but not essential</w:t>
            </w:r>
          </w:p>
          <w:p w14:paraId="05A7A495" w14:textId="77777777" w:rsidR="003E39C2" w:rsidRPr="00020C42" w:rsidRDefault="003E39C2" w:rsidP="00D13F07">
            <w:pPr>
              <w:rPr>
                <w:rFonts w:asciiTheme="minorHAnsi" w:hAnsiTheme="minorHAnsi"/>
                <w:sz w:val="22"/>
              </w:rPr>
            </w:pPr>
          </w:p>
        </w:tc>
        <w:tc>
          <w:tcPr>
            <w:tcW w:w="944" w:type="pct"/>
            <w:shd w:val="clear" w:color="auto" w:fill="CCFFCC"/>
          </w:tcPr>
          <w:p w14:paraId="38ACF13A" w14:textId="0E92DAF8" w:rsidR="003E39C2" w:rsidRPr="00020C42" w:rsidRDefault="003E39C2" w:rsidP="00D13F07">
            <w:pPr>
              <w:outlineLvl w:val="0"/>
              <w:rPr>
                <w:rFonts w:asciiTheme="minorHAnsi" w:hAnsiTheme="minorHAnsi"/>
                <w:sz w:val="22"/>
              </w:rPr>
            </w:pPr>
            <w:r>
              <w:rPr>
                <w:rFonts w:asciiTheme="minorHAnsi" w:hAnsiTheme="minorHAnsi"/>
                <w:sz w:val="22"/>
              </w:rPr>
              <w:t>A</w:t>
            </w:r>
          </w:p>
        </w:tc>
      </w:tr>
      <w:tr w:rsidR="003E39C2" w:rsidRPr="00020C42" w14:paraId="713103AD" w14:textId="77777777" w:rsidTr="003E39C2">
        <w:tc>
          <w:tcPr>
            <w:tcW w:w="1116" w:type="pct"/>
            <w:shd w:val="clear" w:color="auto" w:fill="002060"/>
          </w:tcPr>
          <w:p w14:paraId="3D35B545" w14:textId="75723911" w:rsidR="003E39C2" w:rsidRPr="00B86299" w:rsidRDefault="003E39C2" w:rsidP="00D13F07">
            <w:pPr>
              <w:outlineLvl w:val="0"/>
              <w:rPr>
                <w:rFonts w:asciiTheme="minorHAnsi" w:hAnsiTheme="minorHAnsi"/>
                <w:szCs w:val="20"/>
              </w:rPr>
            </w:pPr>
            <w:r>
              <w:rPr>
                <w:rFonts w:asciiTheme="minorHAnsi" w:hAnsiTheme="minorHAnsi"/>
                <w:b/>
                <w:sz w:val="24"/>
                <w:szCs w:val="24"/>
              </w:rPr>
              <w:t xml:space="preserve">Experience </w:t>
            </w:r>
          </w:p>
          <w:p w14:paraId="056F01C7" w14:textId="77777777" w:rsidR="003E39C2" w:rsidRPr="00B86299" w:rsidRDefault="003E39C2" w:rsidP="00B86299">
            <w:pPr>
              <w:outlineLvl w:val="0"/>
              <w:rPr>
                <w:rFonts w:asciiTheme="minorHAnsi" w:hAnsiTheme="minorHAnsi"/>
                <w:szCs w:val="20"/>
              </w:rPr>
            </w:pPr>
          </w:p>
        </w:tc>
        <w:tc>
          <w:tcPr>
            <w:tcW w:w="2940" w:type="pct"/>
            <w:shd w:val="clear" w:color="auto" w:fill="C6D9F1" w:themeFill="text2" w:themeFillTint="33"/>
          </w:tcPr>
          <w:p w14:paraId="57FE21BE" w14:textId="77777777" w:rsidR="003E39C2" w:rsidRPr="003E39C2" w:rsidRDefault="003E39C2" w:rsidP="003E39C2">
            <w:pPr>
              <w:spacing w:before="100" w:beforeAutospacing="1" w:after="100" w:afterAutospacing="1" w:line="240" w:lineRule="auto"/>
              <w:rPr>
                <w:rFonts w:ascii="Calibri" w:eastAsia="Times New Roman" w:hAnsi="Calibri" w:cs="Calibri"/>
                <w:szCs w:val="20"/>
                <w:lang w:eastAsia="en-GB"/>
              </w:rPr>
            </w:pPr>
            <w:r w:rsidRPr="003E39C2">
              <w:rPr>
                <w:rFonts w:ascii="Calibri" w:eastAsia="Times New Roman" w:hAnsi="Calibri" w:cs="Calibri"/>
                <w:szCs w:val="20"/>
                <w:lang w:eastAsia="en-GB"/>
              </w:rPr>
              <w:t>We welcome applications from candidates who can demonstrate:</w:t>
            </w:r>
          </w:p>
          <w:p w14:paraId="4B615A5A" w14:textId="77777777" w:rsidR="003E39C2" w:rsidRPr="003E39C2" w:rsidRDefault="003E39C2" w:rsidP="003E39C2">
            <w:pPr>
              <w:numPr>
                <w:ilvl w:val="0"/>
                <w:numId w:val="10"/>
              </w:numPr>
              <w:spacing w:after="160" w:line="278" w:lineRule="auto"/>
              <w:rPr>
                <w:rFonts w:ascii="Calibri" w:hAnsi="Calibri" w:cs="Calibri"/>
                <w:szCs w:val="20"/>
              </w:rPr>
            </w:pPr>
            <w:r w:rsidRPr="003E39C2">
              <w:rPr>
                <w:rFonts w:ascii="Calibri" w:hAnsi="Calibri" w:cs="Calibri"/>
                <w:szCs w:val="20"/>
              </w:rPr>
              <w:t>Senior experience in leading or delivering change within healthcare, public services, or data-led improvement</w:t>
            </w:r>
          </w:p>
          <w:p w14:paraId="70D410D9" w14:textId="77777777" w:rsidR="003E39C2" w:rsidRPr="003E39C2" w:rsidRDefault="003E39C2" w:rsidP="003E39C2">
            <w:pPr>
              <w:numPr>
                <w:ilvl w:val="0"/>
                <w:numId w:val="10"/>
              </w:numPr>
              <w:spacing w:after="160" w:line="278" w:lineRule="auto"/>
              <w:rPr>
                <w:rFonts w:ascii="Calibri" w:hAnsi="Calibri" w:cs="Calibri"/>
                <w:szCs w:val="20"/>
              </w:rPr>
            </w:pPr>
            <w:r w:rsidRPr="003E39C2">
              <w:rPr>
                <w:rFonts w:ascii="Calibri" w:hAnsi="Calibri" w:cs="Calibri"/>
                <w:szCs w:val="20"/>
              </w:rPr>
              <w:t>A track record of working collaboratively with a wide range of stakeholders, particularly in national or cross-organisational contexts</w:t>
            </w:r>
          </w:p>
          <w:p w14:paraId="12975317" w14:textId="77777777" w:rsidR="003E39C2" w:rsidRPr="003E39C2" w:rsidRDefault="003E39C2" w:rsidP="003E39C2">
            <w:pPr>
              <w:numPr>
                <w:ilvl w:val="0"/>
                <w:numId w:val="10"/>
              </w:numPr>
              <w:spacing w:after="160" w:line="278" w:lineRule="auto"/>
              <w:rPr>
                <w:rFonts w:ascii="Calibri" w:hAnsi="Calibri" w:cs="Calibri"/>
                <w:szCs w:val="20"/>
              </w:rPr>
            </w:pPr>
            <w:r w:rsidRPr="003E39C2">
              <w:rPr>
                <w:rFonts w:ascii="Calibri" w:hAnsi="Calibri" w:cs="Calibri"/>
                <w:szCs w:val="20"/>
              </w:rPr>
              <w:t>Experience of programme or service design, start-up delivery, or community building</w:t>
            </w:r>
          </w:p>
          <w:p w14:paraId="525B4F61" w14:textId="77777777" w:rsidR="003E39C2" w:rsidRPr="003E39C2" w:rsidRDefault="003E39C2" w:rsidP="003E39C2">
            <w:pPr>
              <w:numPr>
                <w:ilvl w:val="0"/>
                <w:numId w:val="10"/>
              </w:numPr>
              <w:spacing w:after="160" w:line="278" w:lineRule="auto"/>
              <w:rPr>
                <w:rFonts w:ascii="Calibri" w:hAnsi="Calibri" w:cs="Calibri"/>
                <w:szCs w:val="20"/>
              </w:rPr>
            </w:pPr>
            <w:r w:rsidRPr="003E39C2">
              <w:rPr>
                <w:rFonts w:ascii="Calibri" w:hAnsi="Calibri" w:cs="Calibri"/>
                <w:szCs w:val="20"/>
              </w:rPr>
              <w:t>Familiarity with clinical audit, healthcare registries, health data, or quality improvement work, either directly or through aligned sectors</w:t>
            </w:r>
          </w:p>
          <w:p w14:paraId="0EA3E399" w14:textId="3214846A" w:rsidR="003E39C2" w:rsidRPr="003E39C2" w:rsidRDefault="003E39C2" w:rsidP="003E39C2">
            <w:pPr>
              <w:numPr>
                <w:ilvl w:val="0"/>
                <w:numId w:val="10"/>
              </w:numPr>
              <w:spacing w:after="160" w:line="278" w:lineRule="auto"/>
              <w:rPr>
                <w:rFonts w:ascii="Calibri" w:hAnsi="Calibri" w:cs="Calibri"/>
                <w:szCs w:val="20"/>
              </w:rPr>
            </w:pPr>
            <w:r w:rsidRPr="003E39C2">
              <w:rPr>
                <w:rFonts w:ascii="Calibri" w:hAnsi="Calibri" w:cs="Calibri"/>
                <w:szCs w:val="20"/>
              </w:rPr>
              <w:t>Experience of working with or alongside NHS organisations, Royal Colleges, regulators, academic bodies, or professional associations is desirable but not essential</w:t>
            </w:r>
          </w:p>
        </w:tc>
        <w:tc>
          <w:tcPr>
            <w:tcW w:w="944" w:type="pct"/>
            <w:shd w:val="clear" w:color="auto" w:fill="CCFFCC"/>
          </w:tcPr>
          <w:p w14:paraId="19EE9759" w14:textId="69C23771" w:rsidR="003E39C2" w:rsidRPr="00020C42" w:rsidRDefault="003E39C2" w:rsidP="00D13F07">
            <w:pPr>
              <w:outlineLvl w:val="0"/>
              <w:rPr>
                <w:rFonts w:asciiTheme="minorHAnsi" w:hAnsiTheme="minorHAnsi"/>
                <w:sz w:val="22"/>
              </w:rPr>
            </w:pPr>
            <w:r>
              <w:rPr>
                <w:rFonts w:asciiTheme="minorHAnsi" w:hAnsiTheme="minorHAnsi"/>
                <w:sz w:val="22"/>
              </w:rPr>
              <w:t>A, I</w:t>
            </w:r>
          </w:p>
        </w:tc>
      </w:tr>
      <w:tr w:rsidR="003E39C2" w:rsidRPr="00020C42" w14:paraId="10B908A8" w14:textId="77777777" w:rsidTr="003E39C2">
        <w:tc>
          <w:tcPr>
            <w:tcW w:w="1116" w:type="pct"/>
            <w:shd w:val="clear" w:color="auto" w:fill="002060"/>
          </w:tcPr>
          <w:p w14:paraId="0066F598" w14:textId="460AC0BC" w:rsidR="003E39C2" w:rsidRDefault="003E39C2" w:rsidP="00D13F07">
            <w:pPr>
              <w:outlineLvl w:val="0"/>
              <w:rPr>
                <w:rFonts w:asciiTheme="minorHAnsi" w:hAnsiTheme="minorHAnsi"/>
                <w:b/>
                <w:sz w:val="22"/>
              </w:rPr>
            </w:pPr>
            <w:r>
              <w:rPr>
                <w:rFonts w:asciiTheme="minorHAnsi" w:hAnsiTheme="minorHAnsi"/>
                <w:b/>
                <w:sz w:val="22"/>
              </w:rPr>
              <w:t xml:space="preserve">Skills and Attributes </w:t>
            </w:r>
          </w:p>
          <w:p w14:paraId="396E93A4" w14:textId="2434D059" w:rsidR="003E39C2" w:rsidRPr="001201F5" w:rsidRDefault="003E39C2" w:rsidP="00D13F07">
            <w:pPr>
              <w:outlineLvl w:val="0"/>
              <w:rPr>
                <w:rFonts w:asciiTheme="minorHAnsi" w:hAnsiTheme="minorHAnsi"/>
                <w:szCs w:val="20"/>
              </w:rPr>
            </w:pPr>
          </w:p>
          <w:p w14:paraId="08E87182" w14:textId="77777777" w:rsidR="003E39C2" w:rsidRPr="00020C42" w:rsidRDefault="003E39C2" w:rsidP="00D13F07">
            <w:pPr>
              <w:outlineLvl w:val="0"/>
              <w:rPr>
                <w:rFonts w:asciiTheme="minorHAnsi" w:hAnsiTheme="minorHAnsi"/>
                <w:b/>
                <w:sz w:val="22"/>
              </w:rPr>
            </w:pPr>
          </w:p>
        </w:tc>
        <w:tc>
          <w:tcPr>
            <w:tcW w:w="2940" w:type="pct"/>
            <w:shd w:val="clear" w:color="auto" w:fill="C6D9F1" w:themeFill="text2" w:themeFillTint="33"/>
          </w:tcPr>
          <w:p w14:paraId="7BE24F72" w14:textId="77777777" w:rsidR="003E39C2" w:rsidRPr="003E39C2" w:rsidRDefault="003E39C2" w:rsidP="003E39C2">
            <w:pPr>
              <w:pStyle w:val="ListParagraph"/>
              <w:numPr>
                <w:ilvl w:val="0"/>
                <w:numId w:val="11"/>
              </w:numPr>
              <w:spacing w:after="160" w:line="278" w:lineRule="auto"/>
              <w:rPr>
                <w:rFonts w:ascii="Calibri" w:hAnsi="Calibri" w:cs="Calibri"/>
                <w:sz w:val="20"/>
                <w:szCs w:val="20"/>
              </w:rPr>
            </w:pPr>
            <w:r w:rsidRPr="003E39C2">
              <w:rPr>
                <w:rFonts w:ascii="Calibri" w:hAnsi="Calibri" w:cs="Calibri"/>
                <w:sz w:val="20"/>
                <w:szCs w:val="20"/>
              </w:rPr>
              <w:t xml:space="preserve">Strategic thinking, with the ability to design, plan, and deliver structured </w:t>
            </w:r>
            <w:proofErr w:type="spellStart"/>
            <w:r w:rsidRPr="003E39C2">
              <w:rPr>
                <w:rFonts w:ascii="Calibri" w:hAnsi="Calibri" w:cs="Calibri"/>
                <w:sz w:val="20"/>
                <w:szCs w:val="20"/>
              </w:rPr>
              <w:t>programmes</w:t>
            </w:r>
            <w:proofErr w:type="spellEnd"/>
            <w:r w:rsidRPr="003E39C2">
              <w:rPr>
                <w:rFonts w:ascii="Calibri" w:hAnsi="Calibri" w:cs="Calibri"/>
                <w:sz w:val="20"/>
                <w:szCs w:val="20"/>
              </w:rPr>
              <w:t xml:space="preserve"> of work</w:t>
            </w:r>
          </w:p>
          <w:p w14:paraId="340EC219" w14:textId="77777777" w:rsidR="003E39C2" w:rsidRPr="003E39C2" w:rsidRDefault="003E39C2" w:rsidP="003E39C2">
            <w:pPr>
              <w:numPr>
                <w:ilvl w:val="0"/>
                <w:numId w:val="10"/>
              </w:numPr>
              <w:spacing w:after="160" w:line="278" w:lineRule="auto"/>
              <w:rPr>
                <w:rFonts w:ascii="Calibri" w:hAnsi="Calibri" w:cs="Calibri"/>
                <w:szCs w:val="20"/>
              </w:rPr>
            </w:pPr>
            <w:r w:rsidRPr="003E39C2">
              <w:rPr>
                <w:rFonts w:ascii="Calibri" w:hAnsi="Calibri" w:cs="Calibri"/>
                <w:szCs w:val="20"/>
              </w:rPr>
              <w:t>Excellent communication and relationship-building skills, with the confidence to engage both senior leaders and frontline teams</w:t>
            </w:r>
          </w:p>
          <w:p w14:paraId="35391253" w14:textId="77777777" w:rsidR="003E39C2" w:rsidRPr="003E39C2" w:rsidRDefault="003E39C2" w:rsidP="003E39C2">
            <w:pPr>
              <w:numPr>
                <w:ilvl w:val="0"/>
                <w:numId w:val="10"/>
              </w:numPr>
              <w:spacing w:after="160" w:line="278" w:lineRule="auto"/>
              <w:rPr>
                <w:rFonts w:ascii="Calibri" w:hAnsi="Calibri" w:cs="Calibri"/>
                <w:szCs w:val="20"/>
              </w:rPr>
            </w:pPr>
            <w:r w:rsidRPr="003E39C2">
              <w:rPr>
                <w:rFonts w:ascii="Calibri" w:hAnsi="Calibri" w:cs="Calibri"/>
                <w:szCs w:val="20"/>
              </w:rPr>
              <w:t>Ability to navigate ambiguity, connect ideas, and build consensus</w:t>
            </w:r>
          </w:p>
          <w:p w14:paraId="6980BA70" w14:textId="77777777" w:rsidR="003E39C2" w:rsidRPr="003E39C2" w:rsidRDefault="003E39C2" w:rsidP="003E39C2">
            <w:pPr>
              <w:numPr>
                <w:ilvl w:val="0"/>
                <w:numId w:val="10"/>
              </w:numPr>
              <w:spacing w:after="160" w:line="278" w:lineRule="auto"/>
              <w:rPr>
                <w:rFonts w:ascii="Calibri" w:hAnsi="Calibri" w:cs="Calibri"/>
                <w:szCs w:val="20"/>
              </w:rPr>
            </w:pPr>
            <w:r w:rsidRPr="003E39C2">
              <w:rPr>
                <w:rFonts w:ascii="Calibri" w:hAnsi="Calibri" w:cs="Calibri"/>
                <w:szCs w:val="20"/>
              </w:rPr>
              <w:t>Commitment to inclusion, collaboration, and shared leadership</w:t>
            </w:r>
          </w:p>
          <w:p w14:paraId="0A7D550D" w14:textId="77777777" w:rsidR="003E39C2" w:rsidRPr="003E39C2" w:rsidRDefault="003E39C2" w:rsidP="003E39C2">
            <w:pPr>
              <w:numPr>
                <w:ilvl w:val="0"/>
                <w:numId w:val="10"/>
              </w:numPr>
              <w:spacing w:after="160" w:line="278" w:lineRule="auto"/>
              <w:rPr>
                <w:rFonts w:ascii="Calibri" w:hAnsi="Calibri" w:cs="Calibri"/>
                <w:szCs w:val="20"/>
              </w:rPr>
            </w:pPr>
            <w:r w:rsidRPr="003E39C2">
              <w:rPr>
                <w:rFonts w:ascii="Calibri" w:hAnsi="Calibri" w:cs="Calibri"/>
                <w:szCs w:val="20"/>
              </w:rPr>
              <w:t>A strong sense of purpose and belief in the power of data, insight, and collective voice to drive improvement</w:t>
            </w:r>
          </w:p>
          <w:p w14:paraId="58573EED" w14:textId="00435806" w:rsidR="003E39C2" w:rsidRPr="003E39C2" w:rsidRDefault="003E39C2" w:rsidP="00D13F07">
            <w:pPr>
              <w:numPr>
                <w:ilvl w:val="0"/>
                <w:numId w:val="10"/>
              </w:numPr>
              <w:spacing w:after="160" w:line="278" w:lineRule="auto"/>
              <w:rPr>
                <w:rFonts w:ascii="Calibri" w:hAnsi="Calibri" w:cs="Calibri"/>
                <w:szCs w:val="20"/>
              </w:rPr>
            </w:pPr>
            <w:r w:rsidRPr="003E39C2">
              <w:rPr>
                <w:rFonts w:ascii="Calibri" w:hAnsi="Calibri" w:cs="Calibri"/>
                <w:szCs w:val="20"/>
              </w:rPr>
              <w:lastRenderedPageBreak/>
              <w:t>Understanding of NHS England’s digital transformation goals, including interoperability and outcomes-based improvement, is an advantage</w:t>
            </w:r>
          </w:p>
        </w:tc>
        <w:tc>
          <w:tcPr>
            <w:tcW w:w="944" w:type="pct"/>
            <w:shd w:val="clear" w:color="auto" w:fill="CCFFCC"/>
          </w:tcPr>
          <w:p w14:paraId="30ADA5A9" w14:textId="3AEC1E14" w:rsidR="003E39C2" w:rsidRPr="00020C42" w:rsidRDefault="003E39C2" w:rsidP="00D13F07">
            <w:pPr>
              <w:outlineLvl w:val="0"/>
              <w:rPr>
                <w:rFonts w:asciiTheme="minorHAnsi" w:hAnsiTheme="minorHAnsi"/>
                <w:sz w:val="22"/>
              </w:rPr>
            </w:pPr>
            <w:r>
              <w:rPr>
                <w:rFonts w:asciiTheme="minorHAnsi" w:hAnsiTheme="minorHAnsi"/>
                <w:sz w:val="22"/>
              </w:rPr>
              <w:lastRenderedPageBreak/>
              <w:t>A, I</w:t>
            </w:r>
          </w:p>
        </w:tc>
      </w:tr>
      <w:tr w:rsidR="003E39C2" w:rsidRPr="00020C42" w14:paraId="6574AE19" w14:textId="77777777" w:rsidTr="003E39C2">
        <w:tc>
          <w:tcPr>
            <w:tcW w:w="1116" w:type="pct"/>
            <w:shd w:val="clear" w:color="auto" w:fill="002060"/>
          </w:tcPr>
          <w:p w14:paraId="4AEC87AC" w14:textId="75A6731F" w:rsidR="003E39C2" w:rsidRPr="003E39C2" w:rsidRDefault="003E39C2" w:rsidP="003E39C2">
            <w:pPr>
              <w:outlineLvl w:val="0"/>
              <w:rPr>
                <w:rFonts w:asciiTheme="minorHAnsi" w:hAnsiTheme="minorHAnsi"/>
                <w:b/>
                <w:bCs/>
                <w:sz w:val="24"/>
                <w:szCs w:val="24"/>
              </w:rPr>
            </w:pPr>
            <w:r w:rsidRPr="003E39C2">
              <w:rPr>
                <w:rFonts w:asciiTheme="minorHAnsi" w:hAnsiTheme="minorHAnsi"/>
                <w:b/>
                <w:bCs/>
                <w:sz w:val="24"/>
                <w:szCs w:val="24"/>
              </w:rPr>
              <w:t xml:space="preserve">Key Relations </w:t>
            </w:r>
          </w:p>
        </w:tc>
        <w:tc>
          <w:tcPr>
            <w:tcW w:w="2940" w:type="pct"/>
            <w:shd w:val="clear" w:color="auto" w:fill="C6D9F1" w:themeFill="text2" w:themeFillTint="33"/>
          </w:tcPr>
          <w:p w14:paraId="732E2267" w14:textId="77777777" w:rsidR="003E39C2" w:rsidRPr="003E39C2" w:rsidRDefault="003E39C2" w:rsidP="003E39C2">
            <w:pPr>
              <w:pStyle w:val="ListParagraph"/>
              <w:numPr>
                <w:ilvl w:val="0"/>
                <w:numId w:val="11"/>
              </w:numPr>
              <w:spacing w:after="160" w:line="278" w:lineRule="auto"/>
              <w:rPr>
                <w:rFonts w:ascii="Calibri" w:hAnsi="Calibri" w:cs="Calibri"/>
                <w:sz w:val="20"/>
                <w:szCs w:val="20"/>
              </w:rPr>
            </w:pPr>
            <w:r w:rsidRPr="003E39C2">
              <w:rPr>
                <w:rFonts w:ascii="Calibri" w:hAnsi="Calibri" w:cs="Calibri"/>
                <w:b/>
                <w:bCs/>
                <w:sz w:val="20"/>
                <w:szCs w:val="20"/>
              </w:rPr>
              <w:t>Internal:</w:t>
            </w:r>
            <w:r w:rsidRPr="003E39C2">
              <w:rPr>
                <w:rFonts w:ascii="Calibri" w:hAnsi="Calibri" w:cs="Calibri"/>
                <w:sz w:val="20"/>
                <w:szCs w:val="20"/>
              </w:rPr>
              <w:t xml:space="preserve"> CEO of HQIP, HQIP senior team, and the emerging ACAR Governance Board</w:t>
            </w:r>
          </w:p>
          <w:p w14:paraId="6F1DA627" w14:textId="77813BDB" w:rsidR="003E39C2" w:rsidRPr="003E39C2" w:rsidRDefault="003E39C2" w:rsidP="00D13F07">
            <w:pPr>
              <w:numPr>
                <w:ilvl w:val="0"/>
                <w:numId w:val="10"/>
              </w:numPr>
              <w:spacing w:after="160" w:line="278" w:lineRule="auto"/>
              <w:rPr>
                <w:rFonts w:ascii="Calibri" w:hAnsi="Calibri" w:cs="Calibri"/>
                <w:szCs w:val="20"/>
              </w:rPr>
            </w:pPr>
            <w:r w:rsidRPr="003E39C2">
              <w:rPr>
                <w:rFonts w:ascii="Calibri" w:hAnsi="Calibri" w:cs="Calibri"/>
                <w:b/>
                <w:bCs/>
                <w:szCs w:val="20"/>
              </w:rPr>
              <w:t>External:</w:t>
            </w:r>
            <w:r w:rsidRPr="003E39C2">
              <w:rPr>
                <w:rFonts w:ascii="Calibri" w:hAnsi="Calibri" w:cs="Calibri"/>
                <w:szCs w:val="20"/>
              </w:rPr>
              <w:t xml:space="preserve"> NHS England, Department of Health and Social Care, NHS Trusts and ICBs, Royal Colleges, audit and registry professionals, independent and third sector providers, academic partners, and data and technology providers</w:t>
            </w:r>
          </w:p>
        </w:tc>
        <w:tc>
          <w:tcPr>
            <w:tcW w:w="944" w:type="pct"/>
            <w:shd w:val="clear" w:color="auto" w:fill="CCFFCC"/>
          </w:tcPr>
          <w:p w14:paraId="348ECDA9" w14:textId="273DCA3B" w:rsidR="003E39C2" w:rsidRPr="00020C42" w:rsidRDefault="00450804" w:rsidP="00D13F07">
            <w:pPr>
              <w:outlineLvl w:val="0"/>
              <w:rPr>
                <w:rFonts w:asciiTheme="minorHAnsi" w:hAnsiTheme="minorHAnsi"/>
                <w:sz w:val="22"/>
              </w:rPr>
            </w:pPr>
            <w:r>
              <w:rPr>
                <w:rFonts w:asciiTheme="minorHAnsi" w:hAnsiTheme="minorHAnsi"/>
                <w:sz w:val="22"/>
              </w:rPr>
              <w:t>A</w:t>
            </w:r>
          </w:p>
        </w:tc>
      </w:tr>
    </w:tbl>
    <w:p w14:paraId="21D1A27A" w14:textId="77777777" w:rsidR="00BA5407" w:rsidRPr="00020C42" w:rsidRDefault="00BA5407" w:rsidP="00BA5407">
      <w:pPr>
        <w:outlineLvl w:val="0"/>
        <w:rPr>
          <w:rFonts w:asciiTheme="minorHAnsi" w:hAnsiTheme="minorHAnsi"/>
          <w:sz w:val="22"/>
        </w:rPr>
      </w:pPr>
    </w:p>
    <w:p w14:paraId="0252E263" w14:textId="77777777" w:rsidR="00BA5407" w:rsidRPr="00020C42" w:rsidRDefault="00BA5407" w:rsidP="00BA5407">
      <w:pPr>
        <w:ind w:left="357"/>
        <w:rPr>
          <w:rFonts w:asciiTheme="minorHAnsi" w:hAnsiTheme="minorHAnsi"/>
          <w:b/>
          <w:sz w:val="22"/>
          <w:u w:val="single"/>
        </w:rPr>
      </w:pPr>
    </w:p>
    <w:p w14:paraId="1E5B2E80" w14:textId="77777777" w:rsidR="00FD6822" w:rsidRPr="00BA5407" w:rsidRDefault="00FD6822" w:rsidP="00BA5407"/>
    <w:sectPr w:rsidR="00FD6822" w:rsidRPr="00BA5407" w:rsidSect="00C0107B">
      <w:headerReference w:type="even" r:id="rId9"/>
      <w:headerReference w:type="default" r:id="rId10"/>
      <w:footerReference w:type="even" r:id="rId11"/>
      <w:footerReference w:type="default" r:id="rId12"/>
      <w:headerReference w:type="first" r:id="rId13"/>
      <w:footerReference w:type="first" r:id="rId14"/>
      <w:pgSz w:w="11906" w:h="16838"/>
      <w:pgMar w:top="-791" w:right="2116" w:bottom="1440" w:left="1440" w:header="2835" w:footer="2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2DC72" w14:textId="77777777" w:rsidR="00E13B2F" w:rsidRDefault="00E13B2F" w:rsidP="00FD6822">
      <w:pPr>
        <w:spacing w:after="0" w:line="240" w:lineRule="auto"/>
      </w:pPr>
      <w:r>
        <w:separator/>
      </w:r>
    </w:p>
  </w:endnote>
  <w:endnote w:type="continuationSeparator" w:id="0">
    <w:p w14:paraId="6D5ED18D" w14:textId="77777777" w:rsidR="00E13B2F" w:rsidRDefault="00E13B2F" w:rsidP="00FD6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E192" w14:textId="77777777" w:rsidR="002A501C" w:rsidRDefault="002A50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69CDF" w14:textId="77777777" w:rsidR="002A501C" w:rsidRDefault="002A50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2D47" w14:textId="77FDB916" w:rsidR="00C0107B" w:rsidRDefault="002A501C">
    <w:pPr>
      <w:pStyle w:val="Footer"/>
    </w:pPr>
    <w:r w:rsidRPr="00B7506A">
      <w:rPr>
        <w:noProof/>
        <w:sz w:val="16"/>
        <w:szCs w:val="16"/>
      </w:rPr>
      <mc:AlternateContent>
        <mc:Choice Requires="wps">
          <w:drawing>
            <wp:anchor distT="45720" distB="45720" distL="114300" distR="114300" simplePos="0" relativeHeight="251661312" behindDoc="0" locked="0" layoutInCell="1" allowOverlap="1" wp14:anchorId="5BB26CBD" wp14:editId="7D977FDA">
              <wp:simplePos x="0" y="0"/>
              <wp:positionH relativeFrom="column">
                <wp:posOffset>4343400</wp:posOffset>
              </wp:positionH>
              <wp:positionV relativeFrom="paragraph">
                <wp:posOffset>-461010</wp:posOffset>
              </wp:positionV>
              <wp:extent cx="1727200" cy="774700"/>
              <wp:effectExtent l="0" t="0" r="635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774700"/>
                      </a:xfrm>
                      <a:prstGeom prst="rect">
                        <a:avLst/>
                      </a:prstGeom>
                      <a:solidFill>
                        <a:srgbClr val="FFFFFF"/>
                      </a:solidFill>
                      <a:ln w="9525">
                        <a:noFill/>
                        <a:miter lim="800000"/>
                        <a:headEnd/>
                        <a:tailEnd/>
                      </a:ln>
                    </wps:spPr>
                    <wps:txbx>
                      <w:txbxContent>
                        <w:p w14:paraId="1A0623B9" w14:textId="77777777" w:rsidR="002A501C" w:rsidRPr="00B7506A" w:rsidRDefault="002A501C" w:rsidP="002A501C">
                          <w:pPr>
                            <w:pStyle w:val="NoSpacing"/>
                            <w:rPr>
                              <w:sz w:val="16"/>
                              <w:szCs w:val="16"/>
                            </w:rPr>
                          </w:pPr>
                          <w:r w:rsidRPr="00B7506A">
                            <w:rPr>
                              <w:sz w:val="16"/>
                              <w:szCs w:val="16"/>
                            </w:rPr>
                            <w:t>Registered Charity No. 1127049</w:t>
                          </w:r>
                        </w:p>
                        <w:p w14:paraId="78952A33" w14:textId="77777777" w:rsidR="002A501C" w:rsidRPr="00B7506A" w:rsidRDefault="002A501C" w:rsidP="002A501C">
                          <w:pPr>
                            <w:pStyle w:val="NoSpacing"/>
                            <w:rPr>
                              <w:sz w:val="16"/>
                              <w:szCs w:val="16"/>
                            </w:rPr>
                          </w:pPr>
                          <w:r w:rsidRPr="00B7506A">
                            <w:rPr>
                              <w:sz w:val="16"/>
                              <w:szCs w:val="16"/>
                            </w:rPr>
                            <w:t>Company Limited by guarantee</w:t>
                          </w:r>
                        </w:p>
                        <w:p w14:paraId="0D80D700" w14:textId="77777777" w:rsidR="002A501C" w:rsidRPr="00B7506A" w:rsidRDefault="002A501C" w:rsidP="002A501C">
                          <w:pPr>
                            <w:pStyle w:val="NoSpacing"/>
                            <w:rPr>
                              <w:sz w:val="16"/>
                              <w:szCs w:val="16"/>
                            </w:rPr>
                          </w:pPr>
                          <w:r w:rsidRPr="00B7506A">
                            <w:rPr>
                              <w:sz w:val="16"/>
                              <w:szCs w:val="16"/>
                            </w:rPr>
                            <w:t>Registered in England No. 6498947</w:t>
                          </w:r>
                        </w:p>
                        <w:p w14:paraId="22C4C0D7" w14:textId="77777777" w:rsidR="002A501C" w:rsidRPr="00B7506A" w:rsidRDefault="002A501C" w:rsidP="002A501C">
                          <w:pPr>
                            <w:pStyle w:val="NoSpacing"/>
                            <w:rPr>
                              <w:sz w:val="16"/>
                              <w:szCs w:val="16"/>
                            </w:rPr>
                          </w:pPr>
                          <w:r w:rsidRPr="00B7506A">
                            <w:rPr>
                              <w:sz w:val="16"/>
                              <w:szCs w:val="16"/>
                            </w:rPr>
                            <w:t>Registered Office:</w:t>
                          </w:r>
                        </w:p>
                        <w:p w14:paraId="7126C787" w14:textId="77777777" w:rsidR="002A501C" w:rsidRPr="00B7506A" w:rsidRDefault="002A501C" w:rsidP="002A501C">
                          <w:pPr>
                            <w:pStyle w:val="NoSpacing"/>
                            <w:rPr>
                              <w:sz w:val="16"/>
                              <w:szCs w:val="16"/>
                            </w:rPr>
                          </w:pPr>
                          <w:r w:rsidRPr="00B7506A">
                            <w:rPr>
                              <w:sz w:val="16"/>
                              <w:szCs w:val="16"/>
                            </w:rPr>
                            <w:t>27A Harley Place, London W1G 8LZ</w:t>
                          </w:r>
                        </w:p>
                        <w:p w14:paraId="77C1748F" w14:textId="77777777" w:rsidR="002A501C" w:rsidRDefault="002A501C" w:rsidP="002A50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B26CBD" id="_x0000_t202" coordsize="21600,21600" o:spt="202" path="m,l,21600r21600,l21600,xe">
              <v:stroke joinstyle="miter"/>
              <v:path gradientshapeok="t" o:connecttype="rect"/>
            </v:shapetype>
            <v:shape id="Text Box 2" o:spid="_x0000_s1026" type="#_x0000_t202" style="position:absolute;margin-left:342pt;margin-top:-36.3pt;width:136pt;height:6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" stroked="f">
              <v:textbox>
                <w:txbxContent>
                  <w:p w14:paraId="1A0623B9" w14:textId="77777777" w:rsidR="002A501C" w:rsidRPr="00B7506A" w:rsidRDefault="002A501C" w:rsidP="002A501C">
                    <w:pPr>
                      <w:pStyle w:val="NoSpacing"/>
                      <w:rPr>
                        <w:sz w:val="16"/>
                        <w:szCs w:val="16"/>
                      </w:rPr>
                    </w:pPr>
                    <w:r w:rsidRPr="00B7506A">
                      <w:rPr>
                        <w:sz w:val="16"/>
                        <w:szCs w:val="16"/>
                      </w:rPr>
                      <w:t>Registered Charity No. 1127049</w:t>
                    </w:r>
                  </w:p>
                  <w:p w14:paraId="78952A33" w14:textId="77777777" w:rsidR="002A501C" w:rsidRPr="00B7506A" w:rsidRDefault="002A501C" w:rsidP="002A501C">
                    <w:pPr>
                      <w:pStyle w:val="NoSpacing"/>
                      <w:rPr>
                        <w:sz w:val="16"/>
                        <w:szCs w:val="16"/>
                      </w:rPr>
                    </w:pPr>
                    <w:r w:rsidRPr="00B7506A">
                      <w:rPr>
                        <w:sz w:val="16"/>
                        <w:szCs w:val="16"/>
                      </w:rPr>
                      <w:t>Company Limited by guarantee</w:t>
                    </w:r>
                  </w:p>
                  <w:p w14:paraId="0D80D700" w14:textId="77777777" w:rsidR="002A501C" w:rsidRPr="00B7506A" w:rsidRDefault="002A501C" w:rsidP="002A501C">
                    <w:pPr>
                      <w:pStyle w:val="NoSpacing"/>
                      <w:rPr>
                        <w:sz w:val="16"/>
                        <w:szCs w:val="16"/>
                      </w:rPr>
                    </w:pPr>
                    <w:r w:rsidRPr="00B7506A">
                      <w:rPr>
                        <w:sz w:val="16"/>
                        <w:szCs w:val="16"/>
                      </w:rPr>
                      <w:t>Registered in England No. 6498947</w:t>
                    </w:r>
                  </w:p>
                  <w:p w14:paraId="22C4C0D7" w14:textId="77777777" w:rsidR="002A501C" w:rsidRPr="00B7506A" w:rsidRDefault="002A501C" w:rsidP="002A501C">
                    <w:pPr>
                      <w:pStyle w:val="NoSpacing"/>
                      <w:rPr>
                        <w:sz w:val="16"/>
                        <w:szCs w:val="16"/>
                      </w:rPr>
                    </w:pPr>
                    <w:r w:rsidRPr="00B7506A">
                      <w:rPr>
                        <w:sz w:val="16"/>
                        <w:szCs w:val="16"/>
                      </w:rPr>
                      <w:t>Registered Office:</w:t>
                    </w:r>
                  </w:p>
                  <w:p w14:paraId="7126C787" w14:textId="77777777" w:rsidR="002A501C" w:rsidRPr="00B7506A" w:rsidRDefault="002A501C" w:rsidP="002A501C">
                    <w:pPr>
                      <w:pStyle w:val="NoSpacing"/>
                      <w:rPr>
                        <w:sz w:val="16"/>
                        <w:szCs w:val="16"/>
                      </w:rPr>
                    </w:pPr>
                    <w:r w:rsidRPr="00B7506A">
                      <w:rPr>
                        <w:sz w:val="16"/>
                        <w:szCs w:val="16"/>
                      </w:rPr>
                      <w:t>27A Harley Place, London W1G 8LZ</w:t>
                    </w:r>
                  </w:p>
                  <w:p w14:paraId="77C1748F" w14:textId="77777777" w:rsidR="002A501C" w:rsidRDefault="002A501C" w:rsidP="002A501C"/>
                </w:txbxContent>
              </v:textbox>
              <w10:wrap type="square"/>
            </v:shape>
          </w:pict>
        </mc:Fallback>
      </mc:AlternateContent>
    </w:r>
    <w:r w:rsidR="00C0107B">
      <w:t>Last updated March 2022</w:t>
    </w:r>
    <w:r>
      <w:t xml:space="preserve"> </w:t>
    </w:r>
  </w:p>
  <w:p w14:paraId="585AD873" w14:textId="7B0E77FD" w:rsidR="00D069B9" w:rsidRDefault="00D069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3AB62" w14:textId="77777777" w:rsidR="00E13B2F" w:rsidRDefault="00E13B2F" w:rsidP="00FD6822">
      <w:pPr>
        <w:spacing w:after="0" w:line="240" w:lineRule="auto"/>
      </w:pPr>
      <w:r>
        <w:separator/>
      </w:r>
    </w:p>
  </w:footnote>
  <w:footnote w:type="continuationSeparator" w:id="0">
    <w:p w14:paraId="762D93D7" w14:textId="77777777" w:rsidR="00E13B2F" w:rsidRDefault="00E13B2F" w:rsidP="00FD6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9DA8" w14:textId="77777777" w:rsidR="00263C91" w:rsidRDefault="00E018B4">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6BB1F" w14:textId="77777777" w:rsidR="00D069B9" w:rsidRDefault="00D069B9">
    <w:pPr>
      <w:pStyle w:val="Header"/>
    </w:pPr>
    <w:r>
      <w:rPr>
        <w:noProof/>
        <w:lang w:eastAsia="en-GB"/>
      </w:rPr>
      <w:drawing>
        <wp:anchor distT="0" distB="0" distL="114300" distR="114300" simplePos="0" relativeHeight="251659264" behindDoc="0" locked="0" layoutInCell="1" allowOverlap="1" wp14:anchorId="754378E4" wp14:editId="3881BF0F">
          <wp:simplePos x="0" y="0"/>
          <wp:positionH relativeFrom="column">
            <wp:posOffset>4406900</wp:posOffset>
          </wp:positionH>
          <wp:positionV relativeFrom="paragraph">
            <wp:posOffset>-1080135</wp:posOffset>
          </wp:positionV>
          <wp:extent cx="1181100" cy="370840"/>
          <wp:effectExtent l="19050" t="0" r="0" b="0"/>
          <wp:wrapSquare wrapText="bothSides"/>
          <wp:docPr id="34" name="Picture 34" descr="HQIP_contin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QIP_continuation"/>
                  <pic:cNvPicPr>
                    <a:picLocks noChangeAspect="1" noChangeArrowheads="1"/>
                  </pic:cNvPicPr>
                </pic:nvPicPr>
                <pic:blipFill>
                  <a:blip r:embed="rId1"/>
                  <a:srcRect/>
                  <a:stretch>
                    <a:fillRect/>
                  </a:stretch>
                </pic:blipFill>
                <pic:spPr bwMode="auto">
                  <a:xfrm>
                    <a:off x="0" y="0"/>
                    <a:ext cx="1181100" cy="37084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69332" w14:textId="05AB0FE0" w:rsidR="00D069B9" w:rsidRDefault="00D069B9" w:rsidP="00B52746">
    <w:pPr>
      <w:pStyle w:val="Header"/>
      <w:tabs>
        <w:tab w:val="clear" w:pos="9026"/>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0C29"/>
    <w:multiLevelType w:val="multilevel"/>
    <w:tmpl w:val="855A7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544D3"/>
    <w:multiLevelType w:val="multilevel"/>
    <w:tmpl w:val="21C2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656108"/>
    <w:multiLevelType w:val="hybridMultilevel"/>
    <w:tmpl w:val="0F546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DA05AF"/>
    <w:multiLevelType w:val="multilevel"/>
    <w:tmpl w:val="99C0C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543CB0"/>
    <w:multiLevelType w:val="multilevel"/>
    <w:tmpl w:val="B6D23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65547E"/>
    <w:multiLevelType w:val="hybridMultilevel"/>
    <w:tmpl w:val="1ADA6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2A4F06"/>
    <w:multiLevelType w:val="multilevel"/>
    <w:tmpl w:val="C43A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F156C9"/>
    <w:multiLevelType w:val="multilevel"/>
    <w:tmpl w:val="386E5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042619"/>
    <w:multiLevelType w:val="multilevel"/>
    <w:tmpl w:val="97DE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C4193F"/>
    <w:multiLevelType w:val="multilevel"/>
    <w:tmpl w:val="4894D9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067165"/>
    <w:multiLevelType w:val="hybridMultilevel"/>
    <w:tmpl w:val="E102CCB6"/>
    <w:lvl w:ilvl="0" w:tplc="4C3AD11E">
      <w:start w:val="1"/>
      <w:numFmt w:val="bullet"/>
      <w:lvlText w:val=""/>
      <w:lvlJc w:val="left"/>
      <w:pPr>
        <w:tabs>
          <w:tab w:val="num" w:pos="720"/>
        </w:tabs>
        <w:ind w:left="720" w:hanging="60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76571956">
    <w:abstractNumId w:val="10"/>
  </w:num>
  <w:num w:numId="2" w16cid:durableId="31149041">
    <w:abstractNumId w:val="9"/>
  </w:num>
  <w:num w:numId="3" w16cid:durableId="490871514">
    <w:abstractNumId w:val="2"/>
  </w:num>
  <w:num w:numId="4" w16cid:durableId="1907299358">
    <w:abstractNumId w:val="7"/>
  </w:num>
  <w:num w:numId="5" w16cid:durableId="837885590">
    <w:abstractNumId w:val="8"/>
  </w:num>
  <w:num w:numId="6" w16cid:durableId="1549028924">
    <w:abstractNumId w:val="0"/>
  </w:num>
  <w:num w:numId="7" w16cid:durableId="332997217">
    <w:abstractNumId w:val="3"/>
  </w:num>
  <w:num w:numId="8" w16cid:durableId="1469397087">
    <w:abstractNumId w:val="1"/>
  </w:num>
  <w:num w:numId="9" w16cid:durableId="988091327">
    <w:abstractNumId w:val="6"/>
  </w:num>
  <w:num w:numId="10" w16cid:durableId="681278110">
    <w:abstractNumId w:val="4"/>
  </w:num>
  <w:num w:numId="11" w16cid:durableId="12028619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formatting="1" w:enforcement="0"/>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3B2F"/>
    <w:rsid w:val="00035AEF"/>
    <w:rsid w:val="000526F6"/>
    <w:rsid w:val="000A3F70"/>
    <w:rsid w:val="00115EC1"/>
    <w:rsid w:val="001201F5"/>
    <w:rsid w:val="001B446D"/>
    <w:rsid w:val="00263C91"/>
    <w:rsid w:val="002A501C"/>
    <w:rsid w:val="00335EF1"/>
    <w:rsid w:val="0034239C"/>
    <w:rsid w:val="00361D5D"/>
    <w:rsid w:val="003D137A"/>
    <w:rsid w:val="003D7594"/>
    <w:rsid w:val="003E39C2"/>
    <w:rsid w:val="003E4151"/>
    <w:rsid w:val="00404FDD"/>
    <w:rsid w:val="00415A68"/>
    <w:rsid w:val="00450804"/>
    <w:rsid w:val="00484249"/>
    <w:rsid w:val="004E5CD8"/>
    <w:rsid w:val="005063B1"/>
    <w:rsid w:val="0055393D"/>
    <w:rsid w:val="0056664B"/>
    <w:rsid w:val="00573A80"/>
    <w:rsid w:val="00573DA7"/>
    <w:rsid w:val="005A6D85"/>
    <w:rsid w:val="00645956"/>
    <w:rsid w:val="006646FC"/>
    <w:rsid w:val="00675904"/>
    <w:rsid w:val="006C37D2"/>
    <w:rsid w:val="00721F2C"/>
    <w:rsid w:val="007752AB"/>
    <w:rsid w:val="00784B27"/>
    <w:rsid w:val="0079641A"/>
    <w:rsid w:val="008B38DD"/>
    <w:rsid w:val="008B6986"/>
    <w:rsid w:val="00946879"/>
    <w:rsid w:val="009472C3"/>
    <w:rsid w:val="0096510B"/>
    <w:rsid w:val="00A106B7"/>
    <w:rsid w:val="00A245CC"/>
    <w:rsid w:val="00A80FD3"/>
    <w:rsid w:val="00A83217"/>
    <w:rsid w:val="00AC5F3D"/>
    <w:rsid w:val="00AE6068"/>
    <w:rsid w:val="00B055A4"/>
    <w:rsid w:val="00B2106E"/>
    <w:rsid w:val="00B52746"/>
    <w:rsid w:val="00B63442"/>
    <w:rsid w:val="00B81528"/>
    <w:rsid w:val="00B86299"/>
    <w:rsid w:val="00B87BAA"/>
    <w:rsid w:val="00B87F54"/>
    <w:rsid w:val="00BA5407"/>
    <w:rsid w:val="00BA63F7"/>
    <w:rsid w:val="00BB16C4"/>
    <w:rsid w:val="00BC1F66"/>
    <w:rsid w:val="00BC6BAB"/>
    <w:rsid w:val="00C0107B"/>
    <w:rsid w:val="00C1011D"/>
    <w:rsid w:val="00D069B9"/>
    <w:rsid w:val="00D907D3"/>
    <w:rsid w:val="00D97285"/>
    <w:rsid w:val="00E018B4"/>
    <w:rsid w:val="00E13B2F"/>
    <w:rsid w:val="00E26426"/>
    <w:rsid w:val="00E5142E"/>
    <w:rsid w:val="00EC746B"/>
    <w:rsid w:val="00F05141"/>
    <w:rsid w:val="00F15051"/>
    <w:rsid w:val="00FD68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679E51A7"/>
  <w15:docId w15:val="{3BD13098-719F-48D2-975E-72029FD6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D5D"/>
    <w:pPr>
      <w:spacing w:after="200" w:line="276" w:lineRule="auto"/>
    </w:pPr>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25D6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25D67"/>
  </w:style>
  <w:style w:type="paragraph" w:styleId="Footer">
    <w:name w:val="footer"/>
    <w:basedOn w:val="Normal"/>
    <w:link w:val="FooterChar"/>
    <w:uiPriority w:val="99"/>
    <w:unhideWhenUsed/>
    <w:rsid w:val="00025D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D67"/>
  </w:style>
  <w:style w:type="paragraph" w:styleId="BalloonText">
    <w:name w:val="Balloon Text"/>
    <w:basedOn w:val="Normal"/>
    <w:link w:val="BalloonTextChar"/>
    <w:uiPriority w:val="99"/>
    <w:semiHidden/>
    <w:unhideWhenUsed/>
    <w:rsid w:val="00025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D67"/>
    <w:rPr>
      <w:rFonts w:ascii="Tahoma" w:hAnsi="Tahoma" w:cs="Tahoma"/>
      <w:sz w:val="16"/>
      <w:szCs w:val="16"/>
    </w:rPr>
  </w:style>
  <w:style w:type="character" w:styleId="PlaceholderText">
    <w:name w:val="Placeholder Text"/>
    <w:basedOn w:val="DefaultParagraphFont"/>
    <w:uiPriority w:val="99"/>
    <w:semiHidden/>
    <w:rsid w:val="00FD6822"/>
    <w:rPr>
      <w:color w:val="808080"/>
    </w:rPr>
  </w:style>
  <w:style w:type="paragraph" w:styleId="NormalWeb">
    <w:name w:val="Normal (Web)"/>
    <w:basedOn w:val="Normal"/>
    <w:uiPriority w:val="99"/>
    <w:unhideWhenUsed/>
    <w:rsid w:val="00BA5407"/>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BA5407"/>
    <w:pPr>
      <w:spacing w:after="0" w:line="240" w:lineRule="auto"/>
      <w:ind w:left="720"/>
    </w:pPr>
    <w:rPr>
      <w:rFonts w:ascii="Times New Roman" w:eastAsia="Times New Roman" w:hAnsi="Times New Roman"/>
      <w:sz w:val="24"/>
      <w:szCs w:val="24"/>
      <w:lang w:val="en-US"/>
    </w:rPr>
  </w:style>
  <w:style w:type="table" w:styleId="TableGrid">
    <w:name w:val="Table Grid"/>
    <w:basedOn w:val="TableNormal"/>
    <w:uiPriority w:val="59"/>
    <w:rsid w:val="00BA54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A63F7"/>
    <w:rPr>
      <w:color w:val="0000FF"/>
      <w:u w:val="single"/>
    </w:rPr>
  </w:style>
  <w:style w:type="character" w:styleId="CommentReference">
    <w:name w:val="annotation reference"/>
    <w:basedOn w:val="DefaultParagraphFont"/>
    <w:uiPriority w:val="99"/>
    <w:semiHidden/>
    <w:unhideWhenUsed/>
    <w:rsid w:val="003D137A"/>
    <w:rPr>
      <w:sz w:val="16"/>
      <w:szCs w:val="16"/>
    </w:rPr>
  </w:style>
  <w:style w:type="paragraph" w:styleId="CommentText">
    <w:name w:val="annotation text"/>
    <w:basedOn w:val="Normal"/>
    <w:link w:val="CommentTextChar"/>
    <w:uiPriority w:val="99"/>
    <w:semiHidden/>
    <w:unhideWhenUsed/>
    <w:rsid w:val="003D137A"/>
    <w:pPr>
      <w:spacing w:line="240" w:lineRule="auto"/>
    </w:pPr>
    <w:rPr>
      <w:szCs w:val="20"/>
    </w:rPr>
  </w:style>
  <w:style w:type="character" w:customStyle="1" w:styleId="CommentTextChar">
    <w:name w:val="Comment Text Char"/>
    <w:basedOn w:val="DefaultParagraphFont"/>
    <w:link w:val="CommentText"/>
    <w:uiPriority w:val="99"/>
    <w:semiHidden/>
    <w:rsid w:val="003D137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3D137A"/>
    <w:rPr>
      <w:b/>
      <w:bCs/>
    </w:rPr>
  </w:style>
  <w:style w:type="character" w:customStyle="1" w:styleId="CommentSubjectChar">
    <w:name w:val="Comment Subject Char"/>
    <w:basedOn w:val="CommentTextChar"/>
    <w:link w:val="CommentSubject"/>
    <w:uiPriority w:val="99"/>
    <w:semiHidden/>
    <w:rsid w:val="003D137A"/>
    <w:rPr>
      <w:rFonts w:ascii="Arial" w:hAnsi="Arial"/>
      <w:b/>
      <w:bCs/>
      <w:lang w:eastAsia="en-US"/>
    </w:rPr>
  </w:style>
  <w:style w:type="paragraph" w:styleId="NoSpacing">
    <w:name w:val="No Spacing"/>
    <w:uiPriority w:val="1"/>
    <w:qFormat/>
    <w:rsid w:val="002A501C"/>
    <w:rPr>
      <w:rFonts w:asciiTheme="minorHAnsi" w:eastAsiaTheme="minorHAnsi" w:hAnsiTheme="minorHAnsi" w:cstheme="minorBidi"/>
      <w:kern w:val="2"/>
      <w:sz w:val="22"/>
      <w:szCs w:val="22"/>
      <w:lang w:eastAsia="en-US"/>
      <w14:ligatures w14:val="standardContextual"/>
    </w:rPr>
  </w:style>
  <w:style w:type="character" w:styleId="FollowedHyperlink">
    <w:name w:val="FollowedHyperlink"/>
    <w:basedOn w:val="DefaultParagraphFont"/>
    <w:uiPriority w:val="99"/>
    <w:semiHidden/>
    <w:unhideWhenUsed/>
    <w:rsid w:val="004508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15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qip.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1514</Words>
  <Characters>8634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NB</Company>
  <LinksUpToDate>false</LinksUpToDate>
  <CharactersWithSpaces>10128</CharactersWithSpaces>
  <SharedDoc>false</SharedDoc>
  <HLinks>
    <vt:vector size="24" baseType="variant">
      <vt:variant>
        <vt:i4>4063319</vt:i4>
      </vt:variant>
      <vt:variant>
        <vt:i4>-1</vt:i4>
      </vt:variant>
      <vt:variant>
        <vt:i4>2058</vt:i4>
      </vt:variant>
      <vt:variant>
        <vt:i4>1</vt:i4>
      </vt:variant>
      <vt:variant>
        <vt:lpwstr>HQIP_header_address</vt:lpwstr>
      </vt:variant>
      <vt:variant>
        <vt:lpwstr/>
      </vt:variant>
      <vt:variant>
        <vt:i4>2949229</vt:i4>
      </vt:variant>
      <vt:variant>
        <vt:i4>-1</vt:i4>
      </vt:variant>
      <vt:variant>
        <vt:i4>2059</vt:i4>
      </vt:variant>
      <vt:variant>
        <vt:i4>1</vt:i4>
      </vt:variant>
      <vt:variant>
        <vt:lpwstr>HQIP_header</vt:lpwstr>
      </vt:variant>
      <vt:variant>
        <vt:lpwstr/>
      </vt:variant>
      <vt:variant>
        <vt:i4>3604589</vt:i4>
      </vt:variant>
      <vt:variant>
        <vt:i4>-1</vt:i4>
      </vt:variant>
      <vt:variant>
        <vt:i4>2060</vt:i4>
      </vt:variant>
      <vt:variant>
        <vt:i4>1</vt:i4>
      </vt:variant>
      <vt:variant>
        <vt:lpwstr>HQIP_footer</vt:lpwstr>
      </vt:variant>
      <vt:variant>
        <vt:lpwstr/>
      </vt:variant>
      <vt:variant>
        <vt:i4>5046283</vt:i4>
      </vt:variant>
      <vt:variant>
        <vt:i4>-1</vt:i4>
      </vt:variant>
      <vt:variant>
        <vt:i4>2061</vt:i4>
      </vt:variant>
      <vt:variant>
        <vt:i4>1</vt:i4>
      </vt:variant>
      <vt:variant>
        <vt:lpwstr>HQIP_continuation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bex</dc:creator>
  <cp:lastModifiedBy>Anna Kisielewska</cp:lastModifiedBy>
  <cp:revision>19</cp:revision>
  <cp:lastPrinted>2019-08-20T10:27:00Z</cp:lastPrinted>
  <dcterms:created xsi:type="dcterms:W3CDTF">2019-06-17T12:29:00Z</dcterms:created>
  <dcterms:modified xsi:type="dcterms:W3CDTF">2025-05-22T08:22:00Z</dcterms:modified>
</cp:coreProperties>
</file>