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DE93" w14:textId="77777777" w:rsidR="00565D59" w:rsidRDefault="001F2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F874" wp14:editId="56A460CB">
                <wp:simplePos x="0" y="0"/>
                <wp:positionH relativeFrom="column">
                  <wp:posOffset>6018029</wp:posOffset>
                </wp:positionH>
                <wp:positionV relativeFrom="paragraph">
                  <wp:posOffset>-200143</wp:posOffset>
                </wp:positionV>
                <wp:extent cx="3242590" cy="9779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590" cy="97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D572C" w14:textId="77777777" w:rsidR="000B16C2" w:rsidRPr="00177F7E" w:rsidRDefault="000B16C2" w:rsidP="001F2AE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7F7E">
                              <w:rPr>
                                <w:i/>
                              </w:rPr>
                              <w:t>To be completed by audit’s Clinical Lead (or other appropriate person</w:t>
                            </w:r>
                            <w:r>
                              <w:rPr>
                                <w:i/>
                              </w:rPr>
                              <w:t xml:space="preserve"> in audit team</w:t>
                            </w:r>
                            <w:r w:rsidRPr="00177F7E">
                              <w:rPr>
                                <w:i/>
                              </w:rPr>
                              <w:t>). Content should be factual, objective and evidence based. No anecdotal statements or opinion</w:t>
                            </w:r>
                            <w:r>
                              <w:rPr>
                                <w:i/>
                              </w:rPr>
                              <w:t xml:space="preserve"> should be included</w:t>
                            </w:r>
                            <w:r w:rsidRPr="00177F7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F8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85pt;margin-top:-15.75pt;width:255.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" fillcolor="white [3201]" strokecolor="#c0504d [3205]" strokeweight="2pt">
                <v:textbox>
                  <w:txbxContent>
                    <w:p w14:paraId="5D5D572C" w14:textId="77777777" w:rsidR="000B16C2" w:rsidRPr="00177F7E" w:rsidRDefault="000B16C2" w:rsidP="001F2AE8">
                      <w:pPr>
                        <w:jc w:val="center"/>
                        <w:rPr>
                          <w:i/>
                        </w:rPr>
                      </w:pPr>
                      <w:r w:rsidRPr="00177F7E">
                        <w:rPr>
                          <w:i/>
                        </w:rPr>
                        <w:t>To be completed by audit’s Clinical Lead (or other appropriate person</w:t>
                      </w:r>
                      <w:r>
                        <w:rPr>
                          <w:i/>
                        </w:rPr>
                        <w:t xml:space="preserve"> in audit team</w:t>
                      </w:r>
                      <w:r w:rsidRPr="00177F7E">
                        <w:rPr>
                          <w:i/>
                        </w:rPr>
                        <w:t>). Content should be factual, objective and evidence based. No anecdotal statements or opinion</w:t>
                      </w:r>
                      <w:r>
                        <w:rPr>
                          <w:i/>
                        </w:rPr>
                        <w:t xml:space="preserve"> should be included</w:t>
                      </w:r>
                      <w:r w:rsidRPr="00177F7E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1BB4">
        <w:rPr>
          <w:noProof/>
          <w:lang w:eastAsia="en-GB"/>
        </w:rPr>
        <w:drawing>
          <wp:inline distT="0" distB="0" distL="0" distR="0" wp14:anchorId="7B2236BE" wp14:editId="6A9AFF8C">
            <wp:extent cx="2126512" cy="776177"/>
            <wp:effectExtent l="0" t="0" r="7620" b="50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86"/>
                    <a:stretch/>
                  </pic:blipFill>
                  <pic:spPr bwMode="auto">
                    <a:xfrm>
                      <a:off x="0" y="0"/>
                      <a:ext cx="2131213" cy="77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4920" w:type="dxa"/>
        <w:tblInd w:w="-176" w:type="dxa"/>
        <w:tblLook w:val="04A0" w:firstRow="1" w:lastRow="0" w:firstColumn="1" w:lastColumn="0" w:noHBand="0" w:noVBand="1"/>
      </w:tblPr>
      <w:tblGrid>
        <w:gridCol w:w="2415"/>
        <w:gridCol w:w="12505"/>
      </w:tblGrid>
      <w:tr w:rsidR="00B21BB4" w:rsidRPr="00B2681A" w14:paraId="41830D46" w14:textId="77777777" w:rsidTr="00695BC8">
        <w:trPr>
          <w:trHeight w:val="356"/>
        </w:trPr>
        <w:tc>
          <w:tcPr>
            <w:tcW w:w="14919" w:type="dxa"/>
            <w:gridSpan w:val="2"/>
            <w:shd w:val="clear" w:color="auto" w:fill="FBD4B4" w:themeFill="accent6" w:themeFillTint="66"/>
            <w:vAlign w:val="center"/>
          </w:tcPr>
          <w:p w14:paraId="200D83B9" w14:textId="77777777" w:rsidR="00B21BB4" w:rsidRPr="0036353A" w:rsidRDefault="00B80991" w:rsidP="00695BC8">
            <w:pPr>
              <w:jc w:val="center"/>
              <w:rPr>
                <w:b/>
              </w:rPr>
            </w:pPr>
            <w:r w:rsidRPr="0036353A">
              <w:rPr>
                <w:b/>
              </w:rPr>
              <w:t xml:space="preserve">Report </w:t>
            </w:r>
            <w:r w:rsidR="00B21BB4" w:rsidRPr="0036353A">
              <w:rPr>
                <w:b/>
              </w:rPr>
              <w:t>Key Messages</w:t>
            </w:r>
          </w:p>
        </w:tc>
      </w:tr>
      <w:tr w:rsidR="006C0AC6" w:rsidRPr="00B2681A" w14:paraId="4D309648" w14:textId="77777777" w:rsidTr="00867FED">
        <w:trPr>
          <w:trHeight w:val="340"/>
        </w:trPr>
        <w:tc>
          <w:tcPr>
            <w:tcW w:w="14919" w:type="dxa"/>
            <w:gridSpan w:val="2"/>
            <w:shd w:val="clear" w:color="auto" w:fill="FDE9D9" w:themeFill="accent6" w:themeFillTint="33"/>
            <w:vAlign w:val="center"/>
          </w:tcPr>
          <w:p w14:paraId="5BA111B1" w14:textId="557E38DC" w:rsidR="006C0AC6" w:rsidRPr="0036353A" w:rsidRDefault="006C0AC6" w:rsidP="00695BC8">
            <w:pPr>
              <w:rPr>
                <w:b/>
              </w:rPr>
            </w:pPr>
            <w:r w:rsidRPr="0036353A">
              <w:rPr>
                <w:b/>
              </w:rPr>
              <w:t xml:space="preserve">Audit: </w:t>
            </w:r>
            <w:r w:rsidR="008506DF" w:rsidRPr="0036353A">
              <w:rPr>
                <w:b/>
              </w:rPr>
              <w:t xml:space="preserve"> </w:t>
            </w:r>
            <w:r w:rsidR="0036353A" w:rsidRPr="00E54C8D">
              <w:t xml:space="preserve">National </w:t>
            </w:r>
            <w:r w:rsidR="008506DF" w:rsidRPr="00E54C8D">
              <w:t>Heart Failure</w:t>
            </w:r>
            <w:r w:rsidR="00E54C8D">
              <w:t xml:space="preserve"> Audit</w:t>
            </w:r>
          </w:p>
        </w:tc>
      </w:tr>
      <w:tr w:rsidR="00B21BB4" w:rsidRPr="00B2681A" w14:paraId="589168CD" w14:textId="77777777" w:rsidTr="008506DF">
        <w:trPr>
          <w:trHeight w:val="390"/>
        </w:trPr>
        <w:tc>
          <w:tcPr>
            <w:tcW w:w="14919" w:type="dxa"/>
            <w:gridSpan w:val="2"/>
            <w:shd w:val="clear" w:color="auto" w:fill="FDE9D9" w:themeFill="accent6" w:themeFillTint="33"/>
            <w:vAlign w:val="center"/>
          </w:tcPr>
          <w:p w14:paraId="5C021FF9" w14:textId="5EB4561B" w:rsidR="00B21BB4" w:rsidRPr="0036353A" w:rsidRDefault="00B21BB4" w:rsidP="00E54C8D">
            <w:r w:rsidRPr="0036353A">
              <w:rPr>
                <w:b/>
              </w:rPr>
              <w:t>Report Name:</w:t>
            </w:r>
            <w:r w:rsidR="00E54C8D">
              <w:rPr>
                <w:b/>
              </w:rPr>
              <w:t xml:space="preserve"> </w:t>
            </w:r>
            <w:r w:rsidR="00E54C8D" w:rsidRPr="00E54C8D">
              <w:t>National Heart Failure Audit April 2015-March 2016</w:t>
            </w:r>
          </w:p>
        </w:tc>
      </w:tr>
      <w:tr w:rsidR="00B21BB4" w:rsidRPr="00B2681A" w14:paraId="6CE7A81A" w14:textId="77777777" w:rsidTr="00867FED">
        <w:trPr>
          <w:trHeight w:val="340"/>
        </w:trPr>
        <w:tc>
          <w:tcPr>
            <w:tcW w:w="14919" w:type="dxa"/>
            <w:gridSpan w:val="2"/>
            <w:shd w:val="clear" w:color="auto" w:fill="FDE9D9" w:themeFill="accent6" w:themeFillTint="33"/>
            <w:vAlign w:val="center"/>
          </w:tcPr>
          <w:p w14:paraId="5D6E560A" w14:textId="60ACE5F4" w:rsidR="00B21BB4" w:rsidRPr="0036353A" w:rsidRDefault="00B21BB4" w:rsidP="00695BC8">
            <w:r w:rsidRPr="0036353A">
              <w:rPr>
                <w:b/>
              </w:rPr>
              <w:t>Date of Publication:</w:t>
            </w:r>
            <w:r w:rsidR="00B2681A" w:rsidRPr="0036353A">
              <w:t xml:space="preserve"> </w:t>
            </w:r>
            <w:r w:rsidR="00E54C8D">
              <w:t>13</w:t>
            </w:r>
            <w:r w:rsidR="00E54C8D" w:rsidRPr="00E54C8D">
              <w:rPr>
                <w:vertAlign w:val="superscript"/>
              </w:rPr>
              <w:t>th</w:t>
            </w:r>
            <w:r w:rsidR="00E54C8D">
              <w:t xml:space="preserve"> July 2017</w:t>
            </w:r>
          </w:p>
        </w:tc>
      </w:tr>
      <w:tr w:rsidR="0036353A" w:rsidRPr="0036353A" w14:paraId="7A736B66" w14:textId="77777777" w:rsidTr="00695BC8">
        <w:trPr>
          <w:trHeight w:val="163"/>
        </w:trPr>
        <w:tc>
          <w:tcPr>
            <w:tcW w:w="2415" w:type="dxa"/>
          </w:tcPr>
          <w:p w14:paraId="0E28F1EC" w14:textId="77777777" w:rsidR="00B21BB4" w:rsidRPr="0036353A" w:rsidRDefault="00B21BB4">
            <w:pPr>
              <w:rPr>
                <w:b/>
              </w:rPr>
            </w:pPr>
            <w:r w:rsidRPr="0036353A">
              <w:rPr>
                <w:b/>
              </w:rPr>
              <w:t>Key message 1:</w:t>
            </w:r>
          </w:p>
        </w:tc>
        <w:tc>
          <w:tcPr>
            <w:tcW w:w="12505" w:type="dxa"/>
          </w:tcPr>
          <w:p w14:paraId="53D5A39B" w14:textId="77777777" w:rsidR="00B80991" w:rsidRPr="0036353A" w:rsidRDefault="00B80991"/>
          <w:p w14:paraId="45F245FA" w14:textId="1971765A" w:rsidR="00695BC8" w:rsidRPr="0036353A" w:rsidRDefault="008506DF" w:rsidP="001129A6">
            <w:r w:rsidRPr="0036353A">
              <w:rPr>
                <w:rFonts w:cs="Arial"/>
              </w:rPr>
              <w:t>The mortality of patients hospitalised with heart</w:t>
            </w:r>
            <w:r w:rsidRPr="0036353A">
              <w:rPr>
                <w:rFonts w:cs="Arial"/>
                <w:spacing w:val="-12"/>
              </w:rPr>
              <w:t xml:space="preserve"> </w:t>
            </w:r>
            <w:r w:rsidRPr="0036353A">
              <w:rPr>
                <w:rFonts w:cs="Arial"/>
              </w:rPr>
              <w:t>failure is significantly lower t</w:t>
            </w:r>
            <w:r w:rsidR="00C860B3">
              <w:rPr>
                <w:rFonts w:cs="Arial"/>
              </w:rPr>
              <w:t xml:space="preserve">han </w:t>
            </w:r>
            <w:r w:rsidR="001129A6">
              <w:rPr>
                <w:rFonts w:cs="Arial"/>
              </w:rPr>
              <w:t xml:space="preserve">in the reported audit cycle </w:t>
            </w:r>
            <w:r w:rsidRPr="0036353A">
              <w:rPr>
                <w:rFonts w:cs="Arial"/>
              </w:rPr>
              <w:t xml:space="preserve">at 8.9% compared to 9.6% </w:t>
            </w:r>
            <w:r w:rsidR="001129A6">
              <w:rPr>
                <w:rFonts w:cs="Arial"/>
              </w:rPr>
              <w:t>in the preceding 12 months, even though this audit is more comprehensive.</w:t>
            </w:r>
          </w:p>
        </w:tc>
      </w:tr>
      <w:tr w:rsidR="0036353A" w:rsidRPr="0036353A" w14:paraId="441F66A4" w14:textId="77777777" w:rsidTr="00695BC8">
        <w:trPr>
          <w:trHeight w:val="223"/>
        </w:trPr>
        <w:tc>
          <w:tcPr>
            <w:tcW w:w="2415" w:type="dxa"/>
          </w:tcPr>
          <w:p w14:paraId="38EC1141" w14:textId="77777777" w:rsidR="00B21BB4" w:rsidRPr="0036353A" w:rsidRDefault="00B21BB4">
            <w:pPr>
              <w:rPr>
                <w:b/>
              </w:rPr>
            </w:pPr>
            <w:r w:rsidRPr="0036353A">
              <w:rPr>
                <w:b/>
              </w:rPr>
              <w:t>Key message 2:</w:t>
            </w:r>
          </w:p>
        </w:tc>
        <w:tc>
          <w:tcPr>
            <w:tcW w:w="12505" w:type="dxa"/>
          </w:tcPr>
          <w:p w14:paraId="535EC55A" w14:textId="77777777" w:rsidR="00B80991" w:rsidRPr="0036353A" w:rsidRDefault="00B80991"/>
          <w:p w14:paraId="431CEF8E" w14:textId="4758358E" w:rsidR="008506DF" w:rsidRDefault="008506DF" w:rsidP="008506DF">
            <w:pPr>
              <w:tabs>
                <w:tab w:val="left" w:pos="1004"/>
              </w:tabs>
              <w:spacing w:before="56" w:line="348" w:lineRule="auto"/>
              <w:ind w:right="133"/>
              <w:rPr>
                <w:rFonts w:cs="Arial"/>
              </w:rPr>
            </w:pPr>
            <w:r w:rsidRPr="0036353A">
              <w:rPr>
                <w:rFonts w:cs="Arial"/>
              </w:rPr>
              <w:t xml:space="preserve">The prescription of </w:t>
            </w:r>
            <w:r w:rsidRPr="0036353A">
              <w:rPr>
                <w:rFonts w:cs="Arial"/>
                <w:spacing w:val="-3"/>
              </w:rPr>
              <w:t xml:space="preserve">key </w:t>
            </w:r>
            <w:r w:rsidRPr="0036353A">
              <w:rPr>
                <w:rFonts w:cs="Arial"/>
              </w:rPr>
              <w:t>disease-modifying medicines</w:t>
            </w:r>
            <w:r w:rsidRPr="0036353A">
              <w:rPr>
                <w:rFonts w:cs="Arial"/>
                <w:spacing w:val="-4"/>
              </w:rPr>
              <w:t xml:space="preserve"> </w:t>
            </w:r>
            <w:r w:rsidRPr="0036353A">
              <w:rPr>
                <w:rFonts w:cs="Arial"/>
              </w:rPr>
              <w:t>for patients with heart failure and a reduced left</w:t>
            </w:r>
            <w:r w:rsidRPr="0036353A">
              <w:rPr>
                <w:rFonts w:cs="Arial"/>
                <w:spacing w:val="-23"/>
              </w:rPr>
              <w:t xml:space="preserve"> </w:t>
            </w:r>
            <w:r w:rsidRPr="0036353A">
              <w:rPr>
                <w:rFonts w:cs="Arial"/>
              </w:rPr>
              <w:t xml:space="preserve">ventricular ejection fraction (HF-REF) </w:t>
            </w:r>
            <w:r w:rsidR="007D19F2" w:rsidRPr="0036353A">
              <w:rPr>
                <w:rFonts w:cs="Arial"/>
              </w:rPr>
              <w:t>continues to increase</w:t>
            </w:r>
            <w:r w:rsidR="000B16C2">
              <w:rPr>
                <w:rFonts w:cs="Arial"/>
              </w:rPr>
              <w:t>, as compared with previous audit cycles</w:t>
            </w:r>
            <w:r w:rsidR="007D19F2" w:rsidRPr="0036353A">
              <w:rPr>
                <w:rFonts w:cs="Arial"/>
              </w:rPr>
              <w:t>.</w:t>
            </w:r>
            <w:r w:rsidRPr="0036353A">
              <w:rPr>
                <w:rFonts w:cs="Arial"/>
              </w:rPr>
              <w:t xml:space="preserve"> </w:t>
            </w:r>
            <w:r w:rsidR="007D19F2" w:rsidRPr="0036353A">
              <w:rPr>
                <w:rFonts w:cs="Arial"/>
              </w:rPr>
              <w:t>These treatments</w:t>
            </w:r>
            <w:r w:rsidRPr="0036353A">
              <w:rPr>
                <w:rFonts w:cs="Arial"/>
              </w:rPr>
              <w:t xml:space="preserve"> </w:t>
            </w:r>
            <w:r w:rsidRPr="0036353A">
              <w:rPr>
                <w:rFonts w:cs="Arial"/>
                <w:spacing w:val="-3"/>
              </w:rPr>
              <w:t xml:space="preserve">are </w:t>
            </w:r>
            <w:r w:rsidRPr="0036353A">
              <w:rPr>
                <w:rFonts w:cs="Arial"/>
              </w:rPr>
              <w:t>both life-saving and</w:t>
            </w:r>
            <w:r w:rsidRPr="0036353A">
              <w:rPr>
                <w:rFonts w:cs="Arial"/>
                <w:spacing w:val="-4"/>
              </w:rPr>
              <w:t xml:space="preserve"> </w:t>
            </w:r>
            <w:r w:rsidRPr="0036353A">
              <w:rPr>
                <w:rFonts w:cs="Arial"/>
              </w:rPr>
              <w:t>inexpensive.</w:t>
            </w:r>
            <w:r w:rsidR="000B16C2">
              <w:rPr>
                <w:rFonts w:cs="Arial"/>
              </w:rPr>
              <w:t xml:space="preserve"> However</w:t>
            </w:r>
            <w:r w:rsidR="001643FF">
              <w:rPr>
                <w:rFonts w:cs="Arial"/>
              </w:rPr>
              <w:t xml:space="preserve">, </w:t>
            </w:r>
            <w:r w:rsidR="000B16C2">
              <w:rPr>
                <w:rFonts w:cs="Arial"/>
              </w:rPr>
              <w:t>t</w:t>
            </w:r>
            <w:r w:rsidR="00C860B3">
              <w:rPr>
                <w:rFonts w:cs="Arial"/>
              </w:rPr>
              <w:t xml:space="preserve">here is considerable scope to increase the prescription of these </w:t>
            </w:r>
            <w:r w:rsidR="00BC6319">
              <w:rPr>
                <w:rFonts w:cs="Arial"/>
              </w:rPr>
              <w:t xml:space="preserve">key </w:t>
            </w:r>
            <w:r w:rsidR="00C860B3">
              <w:rPr>
                <w:rFonts w:cs="Arial"/>
              </w:rPr>
              <w:t>drugs since only</w:t>
            </w:r>
            <w:r w:rsidR="000B16C2">
              <w:rPr>
                <w:rFonts w:cs="Arial"/>
              </w:rPr>
              <w:t xml:space="preserve"> </w:t>
            </w:r>
            <w:r w:rsidR="000B16C2" w:rsidRPr="00CA631F">
              <w:t>53%</w:t>
            </w:r>
            <w:r w:rsidR="000B16C2">
              <w:t xml:space="preserve"> of the patients on the cardiology wards are prescribed</w:t>
            </w:r>
            <w:r w:rsidR="000B16C2" w:rsidRPr="00CA631F">
              <w:t xml:space="preserve"> all three evidence based medicines</w:t>
            </w:r>
            <w:r w:rsidR="000B16C2">
              <w:t xml:space="preserve">, and elsewhere the rates are lower at 33%. Involvement of the specialist HF team achieves </w:t>
            </w:r>
            <w:r w:rsidR="00BC6319">
              <w:t>prescribing rates of 47%, irrespective of ward whereas inpatients with HF-REF who do not see anyone from the specialist team the rates are very low at 22%.</w:t>
            </w:r>
          </w:p>
          <w:p w14:paraId="75C5E642" w14:textId="77777777" w:rsidR="00695BC8" w:rsidRPr="0036353A" w:rsidRDefault="00695BC8"/>
        </w:tc>
      </w:tr>
      <w:tr w:rsidR="0036353A" w:rsidRPr="0036353A" w14:paraId="183BC9A2" w14:textId="77777777" w:rsidTr="00695BC8">
        <w:trPr>
          <w:trHeight w:val="77"/>
        </w:trPr>
        <w:tc>
          <w:tcPr>
            <w:tcW w:w="2415" w:type="dxa"/>
          </w:tcPr>
          <w:p w14:paraId="03B17461" w14:textId="77777777" w:rsidR="00B21BB4" w:rsidRPr="0036353A" w:rsidRDefault="00B21BB4">
            <w:pPr>
              <w:rPr>
                <w:b/>
              </w:rPr>
            </w:pPr>
            <w:r w:rsidRPr="0036353A">
              <w:rPr>
                <w:b/>
              </w:rPr>
              <w:t>Key message 3:</w:t>
            </w:r>
          </w:p>
        </w:tc>
        <w:tc>
          <w:tcPr>
            <w:tcW w:w="12505" w:type="dxa"/>
          </w:tcPr>
          <w:p w14:paraId="3D030867" w14:textId="10FB1676" w:rsidR="008506DF" w:rsidRPr="0036353A" w:rsidRDefault="008506DF" w:rsidP="008506DF">
            <w:pPr>
              <w:tabs>
                <w:tab w:val="left" w:pos="1004"/>
              </w:tabs>
              <w:spacing w:before="56" w:line="348" w:lineRule="auto"/>
              <w:ind w:right="127"/>
              <w:rPr>
                <w:rFonts w:eastAsia="DIN-Light" w:cs="Arial"/>
              </w:rPr>
            </w:pPr>
            <w:r w:rsidRPr="0036353A">
              <w:rPr>
                <w:rFonts w:cs="Arial"/>
              </w:rPr>
              <w:t>The number of patients seen by HF specialists</w:t>
            </w:r>
            <w:r w:rsidRPr="0036353A">
              <w:rPr>
                <w:rFonts w:cs="Arial"/>
                <w:spacing w:val="-1"/>
              </w:rPr>
              <w:t xml:space="preserve"> </w:t>
            </w:r>
            <w:r w:rsidRPr="0036353A">
              <w:rPr>
                <w:rFonts w:cs="Arial"/>
              </w:rPr>
              <w:t xml:space="preserve">remains high at 80% this </w:t>
            </w:r>
            <w:r w:rsidRPr="0036353A">
              <w:rPr>
                <w:rFonts w:cs="Arial"/>
                <w:spacing w:val="-5"/>
              </w:rPr>
              <w:t xml:space="preserve">year. </w:t>
            </w:r>
            <w:r w:rsidRPr="0036353A">
              <w:rPr>
                <w:rFonts w:cs="Arial"/>
              </w:rPr>
              <w:t>In particular</w:t>
            </w:r>
            <w:r w:rsidR="001643FF">
              <w:rPr>
                <w:rFonts w:cs="Arial"/>
              </w:rPr>
              <w:t xml:space="preserve">, </w:t>
            </w:r>
            <w:r w:rsidRPr="0036353A">
              <w:rPr>
                <w:rFonts w:cs="Arial"/>
              </w:rPr>
              <w:t>HF nurses</w:t>
            </w:r>
            <w:r w:rsidRPr="0036353A">
              <w:rPr>
                <w:rFonts w:cs="Arial"/>
                <w:spacing w:val="-3"/>
              </w:rPr>
              <w:t xml:space="preserve"> </w:t>
            </w:r>
            <w:r w:rsidRPr="0036353A">
              <w:rPr>
                <w:rFonts w:cs="Arial"/>
              </w:rPr>
              <w:t>saw more HF patients admitted onto general medical</w:t>
            </w:r>
            <w:r w:rsidRPr="0036353A">
              <w:rPr>
                <w:rFonts w:cs="Arial"/>
                <w:spacing w:val="-16"/>
              </w:rPr>
              <w:t xml:space="preserve"> </w:t>
            </w:r>
            <w:r w:rsidRPr="0036353A">
              <w:rPr>
                <w:rFonts w:cs="Arial"/>
              </w:rPr>
              <w:t>wards (33%) than last year (24%). This is important as</w:t>
            </w:r>
            <w:r w:rsidRPr="0036353A">
              <w:rPr>
                <w:rFonts w:cs="Arial"/>
                <w:spacing w:val="-8"/>
              </w:rPr>
              <w:t xml:space="preserve"> </w:t>
            </w:r>
            <w:r w:rsidRPr="0036353A">
              <w:rPr>
                <w:rFonts w:cs="Arial"/>
              </w:rPr>
              <w:t xml:space="preserve">specialist </w:t>
            </w:r>
            <w:r w:rsidRPr="0036353A">
              <w:rPr>
                <w:rFonts w:cs="Arial"/>
                <w:spacing w:val="-3"/>
              </w:rPr>
              <w:t xml:space="preserve">care </w:t>
            </w:r>
            <w:r w:rsidRPr="0036353A">
              <w:rPr>
                <w:rFonts w:cs="Arial"/>
              </w:rPr>
              <w:t>improves</w:t>
            </w:r>
            <w:r w:rsidRPr="0036353A">
              <w:rPr>
                <w:rFonts w:cs="Arial"/>
                <w:spacing w:val="2"/>
              </w:rPr>
              <w:t xml:space="preserve"> </w:t>
            </w:r>
            <w:r w:rsidRPr="0036353A">
              <w:rPr>
                <w:rFonts w:cs="Arial"/>
              </w:rPr>
              <w:t>mortality.</w:t>
            </w:r>
          </w:p>
          <w:p w14:paraId="49CA55B3" w14:textId="77777777" w:rsidR="00B80991" w:rsidRPr="0036353A" w:rsidRDefault="00B80991" w:rsidP="00FC1B7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14:paraId="72469129" w14:textId="77777777" w:rsidR="00695BC8" w:rsidRPr="0036353A" w:rsidRDefault="00695BC8" w:rsidP="00FC1B7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353A" w:rsidRPr="0036353A" w14:paraId="3BEC73D1" w14:textId="77777777" w:rsidTr="00695BC8">
        <w:trPr>
          <w:trHeight w:val="188"/>
        </w:trPr>
        <w:tc>
          <w:tcPr>
            <w:tcW w:w="2415" w:type="dxa"/>
          </w:tcPr>
          <w:p w14:paraId="48B30984" w14:textId="77777777" w:rsidR="00B21BB4" w:rsidRPr="0036353A" w:rsidRDefault="00B21BB4">
            <w:pPr>
              <w:rPr>
                <w:b/>
              </w:rPr>
            </w:pPr>
            <w:r w:rsidRPr="0036353A">
              <w:rPr>
                <w:b/>
              </w:rPr>
              <w:t>Key message 4:</w:t>
            </w:r>
          </w:p>
        </w:tc>
        <w:tc>
          <w:tcPr>
            <w:tcW w:w="12505" w:type="dxa"/>
          </w:tcPr>
          <w:p w14:paraId="1780F99A" w14:textId="0B9973D4" w:rsidR="00B80991" w:rsidRPr="001129A6" w:rsidRDefault="007D19F2" w:rsidP="001129A6">
            <w:pPr>
              <w:tabs>
                <w:tab w:val="left" w:pos="1004"/>
              </w:tabs>
              <w:spacing w:before="56" w:line="348" w:lineRule="auto"/>
              <w:ind w:right="89"/>
              <w:rPr>
                <w:rFonts w:ascii="Calibri" w:eastAsia="Times New Roman" w:hAnsi="Calibri"/>
                <w:bCs/>
                <w:color w:val="000000"/>
                <w:szCs w:val="20"/>
              </w:rPr>
            </w:pPr>
            <w:r w:rsidRPr="0036353A">
              <w:rPr>
                <w:rFonts w:cs="Arial"/>
              </w:rPr>
              <w:t xml:space="preserve">The lowest </w:t>
            </w:r>
            <w:r w:rsidR="00FE3DB4">
              <w:rPr>
                <w:rFonts w:cs="Arial"/>
              </w:rPr>
              <w:t>all</w:t>
            </w:r>
            <w:r w:rsidR="00E54C8D">
              <w:rPr>
                <w:rFonts w:cs="Arial"/>
              </w:rPr>
              <w:t>-</w:t>
            </w:r>
            <w:r w:rsidR="00FE3DB4">
              <w:rPr>
                <w:rFonts w:cs="Arial"/>
              </w:rPr>
              <w:t xml:space="preserve">cause </w:t>
            </w:r>
            <w:r w:rsidRPr="0036353A">
              <w:rPr>
                <w:rFonts w:cs="Arial"/>
              </w:rPr>
              <w:t xml:space="preserve">mortality rates </w:t>
            </w:r>
            <w:r w:rsidR="00FE3DB4">
              <w:rPr>
                <w:rFonts w:cs="Arial"/>
              </w:rPr>
              <w:t xml:space="preserve">of 6.6% </w:t>
            </w:r>
            <w:r w:rsidRPr="0036353A">
              <w:rPr>
                <w:rFonts w:cs="Arial"/>
              </w:rPr>
              <w:t>are found in the HF patients ad</w:t>
            </w:r>
            <w:r w:rsidR="00FE3DB4">
              <w:rPr>
                <w:rFonts w:cs="Arial"/>
              </w:rPr>
              <w:t>mitted to the cardiology wards</w:t>
            </w:r>
            <w:r w:rsidR="001129A6">
              <w:rPr>
                <w:rFonts w:cs="Arial"/>
              </w:rPr>
              <w:t>. This</w:t>
            </w:r>
            <w:r w:rsidR="00FE3DB4">
              <w:rPr>
                <w:rFonts w:cs="Arial"/>
              </w:rPr>
              <w:t xml:space="preserve"> compares with</w:t>
            </w:r>
            <w:r w:rsidR="001129A6">
              <w:rPr>
                <w:rFonts w:cs="Arial"/>
              </w:rPr>
              <w:t xml:space="preserve"> 9.7%</w:t>
            </w:r>
            <w:r w:rsidR="00FE3DB4">
              <w:rPr>
                <w:rFonts w:cs="Arial"/>
              </w:rPr>
              <w:t xml:space="preserve"> </w:t>
            </w:r>
            <w:r w:rsidR="001129A6">
              <w:rPr>
                <w:rFonts w:cs="Arial"/>
              </w:rPr>
              <w:t>for those people with HF cared for on general medical wards.</w:t>
            </w:r>
            <w:r w:rsidRPr="0036353A">
              <w:rPr>
                <w:rFonts w:cs="Arial"/>
              </w:rPr>
              <w:t xml:space="preserve"> </w:t>
            </w:r>
            <w:r w:rsidR="001129A6">
              <w:rPr>
                <w:rFonts w:ascii="Calibri" w:eastAsia="Times New Roman" w:hAnsi="Calibri"/>
                <w:bCs/>
                <w:color w:val="000000"/>
                <w:szCs w:val="20"/>
              </w:rPr>
              <w:t>This mortality figure can be reduced to 7.8% if these patients are seen by the specialist HF team, but rises to 12.6% if the specialist HF team is not involved in the care of this vulnerable group.</w:t>
            </w:r>
          </w:p>
          <w:p w14:paraId="49F44AF5" w14:textId="77777777" w:rsidR="00695BC8" w:rsidRPr="0036353A" w:rsidRDefault="00695BC8" w:rsidP="00567063"/>
        </w:tc>
      </w:tr>
      <w:tr w:rsidR="0036353A" w:rsidRPr="0036353A" w14:paraId="0BC3A8A9" w14:textId="77777777" w:rsidTr="00695BC8">
        <w:trPr>
          <w:trHeight w:val="77"/>
        </w:trPr>
        <w:tc>
          <w:tcPr>
            <w:tcW w:w="2415" w:type="dxa"/>
          </w:tcPr>
          <w:p w14:paraId="7923F875" w14:textId="77777777" w:rsidR="00B21BB4" w:rsidRPr="0036353A" w:rsidRDefault="00B21BB4">
            <w:pPr>
              <w:rPr>
                <w:b/>
              </w:rPr>
            </w:pPr>
            <w:r w:rsidRPr="0036353A">
              <w:rPr>
                <w:b/>
              </w:rPr>
              <w:lastRenderedPageBreak/>
              <w:t>Key message 5:</w:t>
            </w:r>
          </w:p>
        </w:tc>
        <w:tc>
          <w:tcPr>
            <w:tcW w:w="12505" w:type="dxa"/>
          </w:tcPr>
          <w:p w14:paraId="73FF910B" w14:textId="18FD4005" w:rsidR="00C860B3" w:rsidRPr="0036353A" w:rsidRDefault="008506DF" w:rsidP="00C860B3">
            <w:r w:rsidRPr="0036353A">
              <w:t xml:space="preserve">The </w:t>
            </w:r>
            <w:r w:rsidR="00C860B3">
              <w:t xml:space="preserve">impact of good inpatient care </w:t>
            </w:r>
            <w:r w:rsidR="001643FF">
              <w:t>on</w:t>
            </w:r>
            <w:r w:rsidR="00C860B3">
              <w:t xml:space="preserve"> people admitted to hospital with heart failure is reflected in inpatient all</w:t>
            </w:r>
            <w:r w:rsidR="00E54C8D">
              <w:t>-</w:t>
            </w:r>
            <w:bookmarkStart w:id="0" w:name="_GoBack"/>
            <w:bookmarkEnd w:id="0"/>
            <w:r w:rsidR="00C860B3">
              <w:t>cause mortality but continues to have a marked influence on subsequent wellbeing and mortality for years to come. It is essential that there is more widespread access to specialist HF care for peop</w:t>
            </w:r>
            <w:r w:rsidR="00BC6319">
              <w:t>le admitted to hospital with HF and this should be a key message for those commissioning, delivering or seeking heart failure care.</w:t>
            </w:r>
          </w:p>
          <w:p w14:paraId="1584F7CC" w14:textId="20B9482E" w:rsidR="007D19F2" w:rsidRPr="0036353A" w:rsidRDefault="007D19F2" w:rsidP="00567063"/>
          <w:p w14:paraId="2E6C4C9B" w14:textId="77777777" w:rsidR="00695BC8" w:rsidRPr="0036353A" w:rsidRDefault="00695BC8" w:rsidP="00567063"/>
        </w:tc>
      </w:tr>
      <w:tr w:rsidR="0036353A" w:rsidRPr="0036353A" w14:paraId="225E8BA5" w14:textId="77777777" w:rsidTr="00695BC8">
        <w:trPr>
          <w:trHeight w:val="147"/>
        </w:trPr>
        <w:tc>
          <w:tcPr>
            <w:tcW w:w="14919" w:type="dxa"/>
            <w:gridSpan w:val="2"/>
            <w:shd w:val="clear" w:color="auto" w:fill="BFBFBF" w:themeFill="background1" w:themeFillShade="BF"/>
          </w:tcPr>
          <w:p w14:paraId="6C2A0068" w14:textId="77777777" w:rsidR="00695BC8" w:rsidRPr="0036353A" w:rsidRDefault="00695BC8">
            <w:pPr>
              <w:rPr>
                <w:b/>
              </w:rPr>
            </w:pPr>
          </w:p>
        </w:tc>
      </w:tr>
      <w:tr w:rsidR="0036353A" w:rsidRPr="0036353A" w14:paraId="07E526B2" w14:textId="77777777" w:rsidTr="00695BC8">
        <w:trPr>
          <w:trHeight w:val="198"/>
        </w:trPr>
        <w:tc>
          <w:tcPr>
            <w:tcW w:w="14919" w:type="dxa"/>
            <w:gridSpan w:val="2"/>
          </w:tcPr>
          <w:p w14:paraId="20200825" w14:textId="73BD83A5" w:rsidR="00FC1B7D" w:rsidRPr="0036353A" w:rsidRDefault="000339CC" w:rsidP="00FE057D">
            <w:pPr>
              <w:pStyle w:val="ListParagraph"/>
              <w:numPr>
                <w:ilvl w:val="0"/>
                <w:numId w:val="2"/>
              </w:numPr>
            </w:pPr>
            <w:r w:rsidRPr="0036353A">
              <w:rPr>
                <w:b/>
              </w:rPr>
              <w:t>Wo</w:t>
            </w:r>
            <w:r w:rsidR="00FC1B7D" w:rsidRPr="0036353A">
              <w:rPr>
                <w:b/>
              </w:rPr>
              <w:t>rd summary</w:t>
            </w:r>
            <w:r w:rsidR="006C0AC6" w:rsidRPr="0036353A">
              <w:rPr>
                <w:b/>
              </w:rPr>
              <w:t xml:space="preserve"> or abstract</w:t>
            </w:r>
            <w:r w:rsidR="00FC1B7D" w:rsidRPr="0036353A">
              <w:rPr>
                <w:b/>
              </w:rPr>
              <w:t xml:space="preserve"> of the report:</w:t>
            </w:r>
          </w:p>
        </w:tc>
      </w:tr>
      <w:tr w:rsidR="0036353A" w:rsidRPr="0036353A" w14:paraId="7B518BA6" w14:textId="77777777" w:rsidTr="00695BC8">
        <w:trPr>
          <w:trHeight w:val="1144"/>
        </w:trPr>
        <w:tc>
          <w:tcPr>
            <w:tcW w:w="14919" w:type="dxa"/>
            <w:gridSpan w:val="2"/>
          </w:tcPr>
          <w:p w14:paraId="7D0A376D" w14:textId="77777777" w:rsidR="00FC1B7D" w:rsidRPr="0036353A" w:rsidRDefault="00FC1B7D"/>
          <w:p w14:paraId="787066BD" w14:textId="79169E22" w:rsidR="008506DF" w:rsidRPr="0036353A" w:rsidRDefault="000339CC" w:rsidP="00FE057D">
            <w:pPr>
              <w:tabs>
                <w:tab w:val="left" w:pos="1004"/>
              </w:tabs>
              <w:spacing w:before="160" w:line="348" w:lineRule="auto"/>
              <w:ind w:right="128"/>
              <w:rPr>
                <w:rFonts w:eastAsia="DIN-Light" w:cs="Arial"/>
              </w:rPr>
            </w:pPr>
            <w:r w:rsidRPr="0036353A">
              <w:rPr>
                <w:rFonts w:eastAsia="DIN-Light" w:cs="Arial"/>
              </w:rPr>
              <w:t>The</w:t>
            </w:r>
            <w:r w:rsidR="008506DF" w:rsidRPr="0036353A">
              <w:rPr>
                <w:rFonts w:eastAsia="DIN-Light" w:cs="Arial"/>
              </w:rPr>
              <w:t xml:space="preserve"> Heart </w:t>
            </w:r>
            <w:r w:rsidR="008506DF" w:rsidRPr="0036353A">
              <w:rPr>
                <w:rFonts w:eastAsia="DIN-Light" w:cs="Arial"/>
                <w:spacing w:val="-3"/>
              </w:rPr>
              <w:t>Failure</w:t>
            </w:r>
            <w:r w:rsidR="008506DF" w:rsidRPr="0036353A">
              <w:rPr>
                <w:rFonts w:eastAsia="DIN-Light" w:cs="Arial"/>
              </w:rPr>
              <w:t xml:space="preserve"> (HF) audit </w:t>
            </w:r>
            <w:r w:rsidR="00FE057D" w:rsidRPr="0036353A">
              <w:rPr>
                <w:rFonts w:eastAsia="DIN-Light" w:cs="Arial"/>
              </w:rPr>
              <w:t>covers</w:t>
            </w:r>
            <w:r w:rsidR="008506DF" w:rsidRPr="0036353A">
              <w:rPr>
                <w:rFonts w:eastAsia="DIN-Light" w:cs="Arial"/>
              </w:rPr>
              <w:t xml:space="preserve"> 82% of</w:t>
            </w:r>
            <w:r w:rsidR="008506DF" w:rsidRPr="0036353A">
              <w:rPr>
                <w:rFonts w:eastAsia="DIN-Light" w:cs="Arial"/>
                <w:spacing w:val="-14"/>
              </w:rPr>
              <w:t xml:space="preserve"> primary </w:t>
            </w:r>
            <w:r w:rsidR="008506DF" w:rsidRPr="0036353A">
              <w:rPr>
                <w:rFonts w:eastAsia="DIN-Light" w:cs="Arial"/>
              </w:rPr>
              <w:t>HF admissions in</w:t>
            </w:r>
            <w:r w:rsidR="008506DF" w:rsidRPr="0036353A">
              <w:rPr>
                <w:rFonts w:eastAsia="DIN-Light" w:cs="Arial"/>
                <w:spacing w:val="-15"/>
              </w:rPr>
              <w:t xml:space="preserve"> </w:t>
            </w:r>
            <w:r w:rsidR="008506DF" w:rsidRPr="0036353A">
              <w:rPr>
                <w:rFonts w:eastAsia="DIN-Light" w:cs="Arial"/>
              </w:rPr>
              <w:t xml:space="preserve">England and 77% in </w:t>
            </w:r>
            <w:r w:rsidR="008506DF" w:rsidRPr="0036353A">
              <w:rPr>
                <w:rFonts w:eastAsia="DIN-Light" w:cs="Arial"/>
                <w:spacing w:val="-3"/>
              </w:rPr>
              <w:t>Wales.</w:t>
            </w:r>
            <w:r w:rsidR="00FE057D" w:rsidRPr="0036353A">
              <w:rPr>
                <w:rFonts w:eastAsia="DIN-Light" w:cs="Arial"/>
                <w:spacing w:val="-3"/>
              </w:rPr>
              <w:t xml:space="preserve"> </w:t>
            </w:r>
            <w:r w:rsidRPr="0036353A">
              <w:rPr>
                <w:rFonts w:cs="Arial"/>
              </w:rPr>
              <w:t xml:space="preserve">Use of key diagnostics is high: </w:t>
            </w:r>
            <w:r w:rsidR="008506DF" w:rsidRPr="0036353A">
              <w:rPr>
                <w:rFonts w:cs="Arial"/>
              </w:rPr>
              <w:t xml:space="preserve">90% </w:t>
            </w:r>
            <w:r w:rsidRPr="0036353A">
              <w:rPr>
                <w:rFonts w:cs="Arial"/>
              </w:rPr>
              <w:t>having</w:t>
            </w:r>
            <w:r w:rsidR="00FE057D" w:rsidRPr="0036353A">
              <w:rPr>
                <w:rFonts w:cs="Arial"/>
              </w:rPr>
              <w:t xml:space="preserve"> echocardiography</w:t>
            </w:r>
            <w:r w:rsidR="008506DF" w:rsidRPr="0036353A">
              <w:rPr>
                <w:rFonts w:cs="Arial"/>
              </w:rPr>
              <w:t>.</w:t>
            </w:r>
            <w:r w:rsidR="00FE057D" w:rsidRPr="0036353A">
              <w:rPr>
                <w:rFonts w:cs="Arial"/>
              </w:rPr>
              <w:t xml:space="preserve"> </w:t>
            </w:r>
            <w:r w:rsidR="008506DF" w:rsidRPr="0036353A">
              <w:rPr>
                <w:rFonts w:cs="Arial"/>
              </w:rPr>
              <w:t xml:space="preserve">The prescription of </w:t>
            </w:r>
            <w:r w:rsidR="008506DF" w:rsidRPr="0036353A">
              <w:rPr>
                <w:rFonts w:cs="Arial"/>
                <w:spacing w:val="-3"/>
              </w:rPr>
              <w:t xml:space="preserve">key </w:t>
            </w:r>
            <w:r w:rsidR="008506DF" w:rsidRPr="0036353A">
              <w:rPr>
                <w:rFonts w:cs="Arial"/>
              </w:rPr>
              <w:t>disease-modifying medicines</w:t>
            </w:r>
            <w:r w:rsidR="008506DF" w:rsidRPr="0036353A">
              <w:rPr>
                <w:rFonts w:cs="Arial"/>
                <w:spacing w:val="-4"/>
              </w:rPr>
              <w:t xml:space="preserve"> </w:t>
            </w:r>
            <w:r w:rsidR="008506DF" w:rsidRPr="0036353A">
              <w:rPr>
                <w:rFonts w:cs="Arial"/>
              </w:rPr>
              <w:t>for reduced left</w:t>
            </w:r>
            <w:r w:rsidR="008506DF" w:rsidRPr="0036353A">
              <w:rPr>
                <w:rFonts w:cs="Arial"/>
                <w:spacing w:val="-23"/>
              </w:rPr>
              <w:t xml:space="preserve"> </w:t>
            </w:r>
            <w:r w:rsidR="008506DF" w:rsidRPr="0036353A">
              <w:rPr>
                <w:rFonts w:cs="Arial"/>
              </w:rPr>
              <w:t xml:space="preserve">ventricular ejection fraction (HF-REF) has </w:t>
            </w:r>
            <w:r w:rsidR="00FE057D" w:rsidRPr="0036353A">
              <w:rPr>
                <w:rFonts w:cs="Arial"/>
              </w:rPr>
              <w:t>continued to increase</w:t>
            </w:r>
            <w:r w:rsidR="008506DF" w:rsidRPr="0036353A">
              <w:rPr>
                <w:rFonts w:cs="Arial"/>
              </w:rPr>
              <w:t>.</w:t>
            </w:r>
            <w:r w:rsidR="00FE057D" w:rsidRPr="0036353A">
              <w:rPr>
                <w:rFonts w:cs="Arial"/>
              </w:rPr>
              <w:t xml:space="preserve"> </w:t>
            </w:r>
            <w:r w:rsidR="008506DF" w:rsidRPr="0036353A">
              <w:rPr>
                <w:rFonts w:cs="Arial"/>
              </w:rPr>
              <w:t>The number of patients seen by HF specialists</w:t>
            </w:r>
            <w:r w:rsidR="008506DF" w:rsidRPr="0036353A">
              <w:rPr>
                <w:rFonts w:cs="Arial"/>
                <w:spacing w:val="-1"/>
              </w:rPr>
              <w:t xml:space="preserve"> </w:t>
            </w:r>
            <w:r w:rsidR="008506DF" w:rsidRPr="0036353A">
              <w:rPr>
                <w:rFonts w:cs="Arial"/>
              </w:rPr>
              <w:t>remains high at 80%</w:t>
            </w:r>
            <w:r w:rsidR="008506DF" w:rsidRPr="0036353A">
              <w:rPr>
                <w:rFonts w:cs="Arial"/>
                <w:spacing w:val="-5"/>
              </w:rPr>
              <w:t>.</w:t>
            </w:r>
            <w:r w:rsidR="008506DF" w:rsidRPr="0036353A">
              <w:rPr>
                <w:rFonts w:cs="Arial"/>
              </w:rPr>
              <w:t xml:space="preserve"> The mortality of patients hospitalised with heart</w:t>
            </w:r>
            <w:r w:rsidR="008506DF" w:rsidRPr="0036353A">
              <w:rPr>
                <w:rFonts w:cs="Arial"/>
                <w:spacing w:val="-12"/>
              </w:rPr>
              <w:t xml:space="preserve"> </w:t>
            </w:r>
            <w:r w:rsidR="008506DF" w:rsidRPr="0036353A">
              <w:rPr>
                <w:rFonts w:cs="Arial"/>
              </w:rPr>
              <w:t xml:space="preserve">failure is significantly lower this year at 8.9% compared to 9.6% last year. Mortality rates in hospital </w:t>
            </w:r>
            <w:r w:rsidRPr="0036353A">
              <w:rPr>
                <w:rFonts w:cs="Arial"/>
                <w:spacing w:val="-3"/>
              </w:rPr>
              <w:t>and post discharge</w:t>
            </w:r>
            <w:r w:rsidR="008506DF" w:rsidRPr="0036353A">
              <w:rPr>
                <w:rFonts w:cs="Arial"/>
              </w:rPr>
              <w:t xml:space="preserve"> </w:t>
            </w:r>
            <w:r w:rsidR="008506DF" w:rsidRPr="0036353A">
              <w:rPr>
                <w:rFonts w:cs="Arial"/>
                <w:spacing w:val="-3"/>
              </w:rPr>
              <w:t xml:space="preserve">are </w:t>
            </w:r>
            <w:r w:rsidR="008506DF" w:rsidRPr="0036353A">
              <w:rPr>
                <w:rFonts w:cs="Arial"/>
              </w:rPr>
              <w:t>independently associated with admission to</w:t>
            </w:r>
            <w:r w:rsidR="008506DF" w:rsidRPr="0036353A">
              <w:rPr>
                <w:rFonts w:cs="Arial"/>
                <w:spacing w:val="-14"/>
              </w:rPr>
              <w:t xml:space="preserve"> </w:t>
            </w:r>
            <w:r w:rsidR="008506DF" w:rsidRPr="0036353A">
              <w:rPr>
                <w:rFonts w:cs="Arial"/>
              </w:rPr>
              <w:t>a cardiology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ward,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cardiology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follow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up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and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the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use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</w:rPr>
              <w:t>of</w:t>
            </w:r>
            <w:r w:rsidR="008506DF" w:rsidRPr="0036353A">
              <w:rPr>
                <w:rFonts w:cs="Arial"/>
                <w:spacing w:val="-5"/>
              </w:rPr>
              <w:t xml:space="preserve"> </w:t>
            </w:r>
            <w:r w:rsidR="008506DF" w:rsidRPr="0036353A">
              <w:rPr>
                <w:rFonts w:cs="Arial"/>
                <w:spacing w:val="-3"/>
              </w:rPr>
              <w:t>key</w:t>
            </w:r>
            <w:r w:rsidR="008506DF" w:rsidRPr="0036353A">
              <w:rPr>
                <w:rFonts w:cs="Arial"/>
              </w:rPr>
              <w:t xml:space="preserve"> disease-modifying medicines for</w:t>
            </w:r>
            <w:r w:rsidR="008506DF" w:rsidRPr="0036353A">
              <w:rPr>
                <w:rFonts w:cs="Arial"/>
                <w:spacing w:val="-1"/>
              </w:rPr>
              <w:t xml:space="preserve"> </w:t>
            </w:r>
            <w:r w:rsidR="008506DF" w:rsidRPr="0036353A">
              <w:rPr>
                <w:rFonts w:cs="Arial"/>
                <w:spacing w:val="-3"/>
              </w:rPr>
              <w:t>HF-REF.</w:t>
            </w:r>
          </w:p>
          <w:p w14:paraId="0BFD5CB8" w14:textId="77777777" w:rsidR="00695BC8" w:rsidRPr="0036353A" w:rsidRDefault="00695BC8"/>
          <w:p w14:paraId="11DAA5BC" w14:textId="77777777" w:rsidR="00695BC8" w:rsidRPr="0036353A" w:rsidRDefault="00695BC8"/>
          <w:p w14:paraId="0C14DB31" w14:textId="77777777" w:rsidR="00695BC8" w:rsidRPr="0036353A" w:rsidRDefault="00695BC8"/>
          <w:p w14:paraId="17299BA1" w14:textId="77777777" w:rsidR="00695BC8" w:rsidRPr="0036353A" w:rsidRDefault="00695BC8"/>
          <w:p w14:paraId="32442523" w14:textId="77777777" w:rsidR="00695BC8" w:rsidRPr="0036353A" w:rsidRDefault="00695BC8"/>
        </w:tc>
      </w:tr>
    </w:tbl>
    <w:p w14:paraId="02675AA4" w14:textId="77777777" w:rsidR="00B80991" w:rsidRPr="0036353A" w:rsidRDefault="00B80991"/>
    <w:sectPr w:rsidR="00B80991" w:rsidRPr="0036353A" w:rsidSect="00B2681A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86ED" w14:textId="77777777" w:rsidR="000B16C2" w:rsidRDefault="000B16C2" w:rsidP="00B80991">
      <w:pPr>
        <w:spacing w:after="0" w:line="240" w:lineRule="auto"/>
      </w:pPr>
      <w:r>
        <w:separator/>
      </w:r>
    </w:p>
  </w:endnote>
  <w:endnote w:type="continuationSeparator" w:id="0">
    <w:p w14:paraId="6234CD60" w14:textId="77777777" w:rsidR="000B16C2" w:rsidRDefault="000B16C2" w:rsidP="00B8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606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BAD9B90" w14:textId="77777777" w:rsidR="000B16C2" w:rsidRDefault="000B16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C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5CE29" w14:textId="77777777" w:rsidR="000B16C2" w:rsidRDefault="000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E52E4" w14:textId="77777777" w:rsidR="000B16C2" w:rsidRDefault="000B16C2" w:rsidP="00B80991">
      <w:pPr>
        <w:spacing w:after="0" w:line="240" w:lineRule="auto"/>
      </w:pPr>
      <w:r>
        <w:separator/>
      </w:r>
    </w:p>
  </w:footnote>
  <w:footnote w:type="continuationSeparator" w:id="0">
    <w:p w14:paraId="17325310" w14:textId="77777777" w:rsidR="000B16C2" w:rsidRDefault="000B16C2" w:rsidP="00B8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0531"/>
    <w:multiLevelType w:val="hybridMultilevel"/>
    <w:tmpl w:val="ADFA036C"/>
    <w:lvl w:ilvl="0" w:tplc="908E1BE0">
      <w:start w:val="1"/>
      <w:numFmt w:val="bullet"/>
      <w:lvlText w:val="•"/>
      <w:lvlJc w:val="left"/>
      <w:pPr>
        <w:ind w:left="1003" w:hanging="284"/>
      </w:pPr>
      <w:rPr>
        <w:rFonts w:ascii="DIN-Light" w:eastAsia="DIN-Light" w:hAnsi="DIN-Light" w:hint="default"/>
        <w:color w:val="231F20"/>
        <w:w w:val="100"/>
        <w:sz w:val="18"/>
        <w:szCs w:val="18"/>
      </w:rPr>
    </w:lvl>
    <w:lvl w:ilvl="1" w:tplc="D7EAD2D6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2" w:tplc="FC7CD9BE">
      <w:start w:val="1"/>
      <w:numFmt w:val="bullet"/>
      <w:lvlText w:val="•"/>
      <w:lvlJc w:val="left"/>
      <w:pPr>
        <w:ind w:left="1924" w:hanging="284"/>
      </w:pPr>
      <w:rPr>
        <w:rFonts w:hint="default"/>
      </w:rPr>
    </w:lvl>
    <w:lvl w:ilvl="3" w:tplc="11344716">
      <w:start w:val="1"/>
      <w:numFmt w:val="bullet"/>
      <w:lvlText w:val="•"/>
      <w:lvlJc w:val="left"/>
      <w:pPr>
        <w:ind w:left="2386" w:hanging="284"/>
      </w:pPr>
      <w:rPr>
        <w:rFonts w:hint="default"/>
      </w:rPr>
    </w:lvl>
    <w:lvl w:ilvl="4" w:tplc="7562A4CE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5" w:tplc="ECAAFDCE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6" w:tplc="4E9651CE">
      <w:start w:val="1"/>
      <w:numFmt w:val="bullet"/>
      <w:lvlText w:val="•"/>
      <w:lvlJc w:val="left"/>
      <w:pPr>
        <w:ind w:left="3773" w:hanging="284"/>
      </w:pPr>
      <w:rPr>
        <w:rFonts w:hint="default"/>
      </w:rPr>
    </w:lvl>
    <w:lvl w:ilvl="7" w:tplc="A61C0DE6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8" w:tplc="85FA68EC">
      <w:start w:val="1"/>
      <w:numFmt w:val="bullet"/>
      <w:lvlText w:val="•"/>
      <w:lvlJc w:val="left"/>
      <w:pPr>
        <w:ind w:left="4698" w:hanging="284"/>
      </w:pPr>
      <w:rPr>
        <w:rFonts w:hint="default"/>
      </w:rPr>
    </w:lvl>
  </w:abstractNum>
  <w:abstractNum w:abstractNumId="1" w15:restartNumberingAfterBreak="0">
    <w:nsid w:val="6A0B057F"/>
    <w:multiLevelType w:val="hybridMultilevel"/>
    <w:tmpl w:val="EF4A7AC0"/>
    <w:lvl w:ilvl="0" w:tplc="B9F46BB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4"/>
    <w:rsid w:val="000339CC"/>
    <w:rsid w:val="000B16C2"/>
    <w:rsid w:val="001129A6"/>
    <w:rsid w:val="001643FF"/>
    <w:rsid w:val="00177F7E"/>
    <w:rsid w:val="001A52A1"/>
    <w:rsid w:val="001F2AE8"/>
    <w:rsid w:val="0036353A"/>
    <w:rsid w:val="0045151D"/>
    <w:rsid w:val="00555877"/>
    <w:rsid w:val="00565D59"/>
    <w:rsid w:val="00567063"/>
    <w:rsid w:val="005E0879"/>
    <w:rsid w:val="00683014"/>
    <w:rsid w:val="00695BC8"/>
    <w:rsid w:val="006C0AC6"/>
    <w:rsid w:val="007D19F2"/>
    <w:rsid w:val="008465EE"/>
    <w:rsid w:val="008506DF"/>
    <w:rsid w:val="00867FED"/>
    <w:rsid w:val="008B6008"/>
    <w:rsid w:val="008B6A05"/>
    <w:rsid w:val="008F1231"/>
    <w:rsid w:val="009C0F09"/>
    <w:rsid w:val="00B21BB4"/>
    <w:rsid w:val="00B2681A"/>
    <w:rsid w:val="00B45C50"/>
    <w:rsid w:val="00B80991"/>
    <w:rsid w:val="00BC6319"/>
    <w:rsid w:val="00C12F92"/>
    <w:rsid w:val="00C860B3"/>
    <w:rsid w:val="00C865D2"/>
    <w:rsid w:val="00CA33C9"/>
    <w:rsid w:val="00CD4020"/>
    <w:rsid w:val="00CF7300"/>
    <w:rsid w:val="00D47EFA"/>
    <w:rsid w:val="00D56B14"/>
    <w:rsid w:val="00D74CD8"/>
    <w:rsid w:val="00E54C8D"/>
    <w:rsid w:val="00ED20E9"/>
    <w:rsid w:val="00FC1B7D"/>
    <w:rsid w:val="00FE057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672B7"/>
  <w15:docId w15:val="{C4ACCEC3-E46D-422C-BA9C-32D717F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91"/>
  </w:style>
  <w:style w:type="paragraph" w:styleId="Footer">
    <w:name w:val="footer"/>
    <w:basedOn w:val="Normal"/>
    <w:link w:val="FooterChar"/>
    <w:uiPriority w:val="99"/>
    <w:unhideWhenUsed/>
    <w:rsid w:val="00B80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91"/>
  </w:style>
  <w:style w:type="character" w:styleId="Hyperlink">
    <w:name w:val="Hyperlink"/>
    <w:basedOn w:val="DefaultParagraphFont"/>
    <w:uiPriority w:val="99"/>
    <w:semiHidden/>
    <w:unhideWhenUsed/>
    <w:rsid w:val="008F12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12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12F9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506DF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6D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6DF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Stoddart</dc:creator>
  <cp:lastModifiedBy>Akosua Donkor</cp:lastModifiedBy>
  <cp:revision>3</cp:revision>
  <cp:lastPrinted>2017-01-30T16:15:00Z</cp:lastPrinted>
  <dcterms:created xsi:type="dcterms:W3CDTF">2017-05-29T23:35:00Z</dcterms:created>
  <dcterms:modified xsi:type="dcterms:W3CDTF">2017-05-29T23:40:00Z</dcterms:modified>
</cp:coreProperties>
</file>